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58fc100fe75248e0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Bdr>
          <w:top w:val="single" w:sz="4"/>
        </w:pBdr>
      </w:pPr>
      <w:r/>
    </w:p>
    <w:p>
      <w:r>
        <w:br w:type="page"/>
      </w:r>
    </w:p>
    <w:p>
      <w:pPr>
        <w:pStyle w:val="Heading1"/>
      </w:pPr>
      <w:r>
        <w:t>1. Projektbeschreibung</w:t>
      </w:r>
    </w:p>
    <w:p>
      <w:pPr>
        <w:pStyle w:val="Heading2"/>
      </w:pPr>
      <w:r>
        <w:t>1.1. Ziele und Entwicklungsinhalte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2"/>
    </w:p>
    <w:p>
      <w:pPr>
        <w:pStyle w:val="TextStart"/>
      </w:pPr>
      <w:r>
        <w:rPr>
          <w:b/>
        </w:rPr>
        <w:t xml:space="preserve">Übergeordnetes Ziel</w:t>
      </w:r>
    </w:p>
    <w:p>
      <w:pPr>
        <w:pStyle w:val="TextStart"/>
      </w:pPr>
      <w:r>
        <w:t xml:space="preserve">Ziel des Projektes ist die experimentelle Entwicklung von </w:t>
      </w:r>
      <w:r>
        <w:rPr>
          <w:b/>
        </w:rPr>
        <w:t xml:space="preserve">Plappi</w:t>
      </w:r>
      <w:r>
        <w:t xml:space="preserve"> – einem displaylosen, sprachgesteuerten KI-Hardware-Lernbegleiter für Kinder von 2 bis 15 Jahren – bis zum </w:t>
      </w:r>
      <w:r>
        <w:rPr>
          <w:b/>
        </w:rPr>
        <w:t xml:space="preserve">validierten, funktionsfähigen Prototyp</w:t>
      </w:r>
      <w:r>
        <w:t xml:space="preserve">. Plappi fördert mehrsprachige Sprachentwicklung durch personalisierte, adaptive Dialoge und Geschichten: vollständig bildschirmfrei und auf einer datenschutzkonformen, privaten Inferenz-Architektur (quelloffene Sprachmodelle auf EU-Servern), bei der kindliche Sprachdaten architektonisch vom KI-Training ausgeschlossen sind (DSGVO- und EU-AI-Act-konform „by design").</w:t>
      </w:r>
      <w:r>
        <w:t xml:space="preserve"> Damit entsteht – nach derzeitigem Kenntnisstand erstmals – ein bildschirmfreier, mehrsprachiger KI-Sprachlernbegleiter für Kinder, der freien Sprachdialog, kindzentrierte Spracherkennung, datensouveräne EU-Inferenz und eine wissenschaftlich fundierte Pädagogik in einem einzigen Gerät vereint.</w:t>
      </w:r>
    </w:p>
    <w:p>
      <w:pPr>
        <w:pStyle w:val="TextStart"/>
      </w:pPr>
      <w:r>
        <w:t xml:space="preserve">Das Vorhaben ist der experimentellen Entwicklung zuzuordnen. Die </w:t>
      </w:r>
      <w:r>
        <w:rPr>
          <w:b/>
        </w:rPr>
        <w:t xml:space="preserve">Projektgrenze ist der wissenschaftlich-technisch validierte Prototyp</w:t>
      </w:r>
      <w:r>
        <w:t>; die Geräte-Hardware-Entwicklung (separat über aws Preseed/Seed) und die Produktzertifizierung (separat über die Wirtschaftsagentur Wien) sowie Serienfertigung, Markteinführung, Vertrieb und Marketing sind ausdrücklich NICHT Gegenstand dieses FFG-Projektes, sondern laufen auf abgegrenzten Arbeitspaketen eigener Programme (vgl. Abschnitt 3 – Verwertung). Routinemäßige Anpassungen sind ausgeschlossen.</w:t>
      </w:r>
    </w:p>
    <w:p>
      <w:pPr>
        <w:pStyle w:val="TextStart"/>
      </w:pPr>
      <w:r>
        <w:rPr>
          <w:b/>
        </w:rPr>
        <w:t xml:space="preserve">Wesentliche Ziele und Spezifikationen (Pflichtenheft, Richtwerte – vom Antragsteller im Projektverlauf zu schärfen)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Mehrsprachige Kinder-Spracherkennung</w:t>
      </w:r>
      <w:r>
        <w:t xml:space="preserve">: robuste ASR/TTS für Kinderstimmen über die Altersspanne 2–15 inkl. Code-Switching zwischen Erst- und Zweitsprache; Zielmetrik Wortfehlerrate (WER) auf kindlichem Mehrsprach-Material deutlich unter dem heutigen Stand generischer Modelle (Zielwert: relative WER-Reduktion ≥ 30 % gegenüber einem generischen Open-Source-Baseline auf einem kindgerecht-mehrsprachigen Evaluationsset).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Private Inferenz-Architektur</w:t>
      </w:r>
      <w:r>
        <w:t xml:space="preserve">: Hosting/Feinabstimmung quelloffener Sprachmodelle auf gemieteter EU-GPU-Infrastruktur mit dialogtauglicher Latenz (Ziel-Antwortlatenz im niedrigen Sekundenbereich) bei architektonischem Ausschluss der Verwendung von Kinder-Gesprächsdaten für Training.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Adaptive Pädagogik-Engine</w:t>
      </w:r>
      <w:r>
        <w:t xml:space="preserve">: Spaced Repetition, Kognaten-Nutzung, Personalisierung (Interessen, Bezugspersonen, Themen) und altersgerechte Progression, fundiert auf peer-reviewter Forschung zur bilingualen Sprachentwicklung.</w:t>
      </w:r>
    </w:p>
    <w:p>
      <w:pPr>
        <w:pStyle w:val="ListParagraph"/>
        <w:numPr>
          <w:ilvl w:val="0"/>
          <w:numId w:val="2"/>
        </w:numPr>
      </w:pPr>
      <w:r>
        <w:t xml:space="preserve">End-to-End Speech-to-Speech-Sprachdialog: Erprobung und Evaluierung durchgängiger Speech-to-Speech-Modelle als Weiterentwicklung der heutigen kaskadierten ASR→LLM→TTS-Pipeline; Ziel sind natürlichere Prosodie und reduzierte Antwortlatenz bei gleichwertiger oder besserer kindgerechter Erkennungsqualität, gemessen im direkten Vergleich gegen die kaskadierte Baseline.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>Integration auf bildschirmfreier Trägerplattform: Der F&amp;E-Kern wird auf dem kindgerechten Gerät (Fernfeld-Mikrofonarray, eingebettete Recheneinheit/Konnektivität) integriert und in repräsentativem Umfeld erprobt; die Geräte-Hardware-Entwicklung selbst erfolgt im separaten aws-Programm (WP2).</w:t>
      </w:r>
      <w:r/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Eltern-Dashboard</w:t>
      </w:r>
      <w:r>
        <w:t xml:space="preserve"> zur transparenten Fortschrittskontrolle und Personalisierung.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Curricular-Sync für Bildungseinrichtungen: lehrer:innenseitige Vorgabe von Vokabel- und Themenkanon über eine begleitende Plappi-App; das Gerät übt mit dem Kind adaptiv die vorgegebenen Inhalte („Hausaufgaben-Modus“), ohne kindliche Sprachdaten an die Lehrkraft zu übertragen. Methodisch unter der adaptiven Pädagogik-Engine geführt.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Sichere, altersgerechte KI-Outputs (Safety-by-Design): mehrschichtige Guardrail-Architektur als Pflicht-Designziel des KI-Stacks. Plan-Annahmen (vom Antragsteller zu schärfen): Zero-Tolerance für Schimpfwörter, sexualisierte Inhalte, Gewaltverherrlichung, Empfehlungen zu Selbstgefährdung und Abfragen persönlicher Daten; alters- und themenspezifische Allowlists; deterministische Antwort-Templates für sensible Themen (Tod, Trauer, körperliche Themen — behutsam, an Bezugspersonen verweisend).</w:t>
      </w:r>
    </w:p>
    <w:p>
      <w:pPr>
        <w:pStyle w:val="TextStart"/>
      </w:pPr>
      <w:r>
        <w:rPr>
          <w:b/>
        </w:rPr>
        <w:t xml:space="preserve">Zentrale Entwicklungsinhalte</w:t>
      </w:r>
    </w:p>
    <w:p>
      <w:pPr>
        <w:pStyle w:val="TextStart"/>
      </w:pPr>
      <w:r>
        <w:t xml:space="preserve">Der F&amp;E-Kern ruht auf vier Innovations-Säulen: (1) mehrsprachige Kinder-Spracherkennung inkl. Echtzeit-Code-Switching, (2) private EU-Inferenz auf Open-Source-Modellen mit Trainingsausschluss kindlicher Daten, (3) adaptive, wissenschaftlich fundierte Pädagogik-Engine und (4) die Erprobung durchgängiger Speech-to-Speech-Modelle als nächste Generation der Sprachdialog-Pipeline. Säule (4) wird als eigenes, klar abgegrenztes Arbeitspaket geführt (explorative Modellauswahl, Integration, vergleichende Evaluierung gegen die kaskadierte ASR→LLM→TTS-Baseline). Die zugehörigen Arbeitspakete, Meilensteine und der Zeitplan sind unter dem Menüpunkt „Arbeitsplan“ definiert.</w:t>
      </w:r>
    </w:p>
    <w:p>
      <w:pPr>
        <w:pStyle w:val="TextStart"/>
      </w:pPr>
      <w:r>
        <w:rPr>
          <w:b/>
        </w:rPr>
        <w:t xml:space="preserve">Erwartete Ergebnisse nach Projektabschluss</w:t>
      </w:r>
    </w:p>
    <w:p>
      <w:pPr>
        <w:pStyle w:val="ListParagraph"/>
        <w:numPr>
          <w:ilvl w:val="0"/>
          <w:numId w:val="2"/>
        </w:numPr>
      </w:pPr>
      <w:r>
        <w:t>Validierter, integrierter F&amp;E-Kern (mehrsprachige Kinder-ASR, private EU-Inferenz, Pädagogik-Engine, Speech-to-Speech-Dialog), erprobt in einem funktionsfähigen Demonstrator. (Geräte-Hardware-Entwicklung und Zertifizierung = separate Programme aws/Wien, nicht Teil dieses FFG-Projekts.)</w:t>
      </w:r>
    </w:p>
    <w:p>
      <w:pPr>
        <w:pStyle w:val="ListParagraph"/>
        <w:numPr>
          <w:ilvl w:val="0"/>
          <w:numId w:val="2"/>
        </w:numPr>
      </w:pPr>
      <w:r>
        <w:t xml:space="preserve">Validierter privater Inferenz-Stack mit dokumentierter Qualitäts-, Latenz- und Datenschutz-Charakteristik.</w:t>
      </w:r>
    </w:p>
    <w:p>
      <w:pPr>
        <w:pStyle w:val="ListParagraph"/>
        <w:numPr>
          <w:ilvl w:val="0"/>
          <w:numId w:val="2"/>
        </w:numPr>
      </w:pPr>
      <w:r>
        <w:t xml:space="preserve">Empirisch evaluierte Kinder-ASR/TTS-Pipeline (WER/CER-Benchmarks, Code-Switching-Fähigkeit).</w:t>
      </w:r>
    </w:p>
    <w:p>
      <w:pPr>
        <w:pStyle w:val="ListParagraph"/>
        <w:numPr>
          <w:ilvl w:val="0"/>
          <w:numId w:val="2"/>
        </w:numPr>
      </w:pPr>
      <w:r>
        <w:t xml:space="preserve">Wissenschaftlich validierte Pädagogik-Engine inkl. Belegen zur Lernwirksamkeit (A/B-Tests).</w:t>
      </w:r>
    </w:p>
    <w:p>
      <w:pPr>
        <w:pStyle w:val="ListParagraph"/>
        <w:numPr>
          <w:ilvl w:val="0"/>
          <w:numId w:val="2"/>
        </w:numPr>
      </w:pPr>
      <w:r>
        <w:t xml:space="preserve">Erprobter Speech-to-Speech-Dialogprototyp inkl. vergleichender Evaluierung gegen die kaskadierte ASR→LLM→TTS-Baseline (Latenz, Natürlichkeit, kindgerechte Erkennungsqualität).</w:t>
      </w:r>
    </w:p>
    <w:p>
      <w:pPr>
        <w:pStyle w:val="TextStart"/>
      </w:pPr>
      <w:r>
        <w:rPr>
          <w:b/>
        </w:rPr>
        <w:t xml:space="preserve">Motivation</w:t>
      </w:r>
    </w:p>
    <w:p>
      <w:pPr>
        <w:pStyle w:val="TextStart"/>
      </w:pPr>
      <w:r>
        <w:t xml:space="preserve">Bilinguale und mehrsprachig erziehende Familien sind unterversorgt. Spricht ein Elternteil die Zweitsprache nicht, ist der andere die einzige Sprachquelle – bei Zeitmangel bricht die für aktiven Spracherwerb nötige Exposition weg. Die Sprachwissenschaft zeigt, dass für aktiven Zweitspracherwerb ein </w:t>
      </w:r>
      <w:r>
        <w:rPr>
          <w:b/>
        </w:rPr>
        <w:t xml:space="preserve">Mindestanteil von rund 30 % an Sprachexposition</w:t>
      </w:r>
      <w:r>
        <w:t xml:space="preserve"> erforderlich ist (Hoff et al., 2012) und dass die </w:t>
      </w:r>
      <w:r>
        <w:rPr>
          <w:b/>
        </w:rPr>
        <w:t xml:space="preserve">Qualität der Konversation – „conversational turns" – die reine Menge übertrifft</w:t>
      </w:r>
      <w:r>
        <w:t xml:space="preserve"> (Romeo et al., 2018). Bestehende Lösungen sind entweder einsprachig und passiv (Audio-Spielzeug) oder bildschirmgebunden und datenschutzkritisch (Apps mit Cloud-LLMs). Plappi schließt diese Lücke und adressiert die steigende Elternnachfrage nach datensouveränen, bildschirmfreien KI-Produkten.</w:t>
      </w:r>
    </w:p>
    <w:p>
      <w:r>
        <w:t/>
      </w:r>
      <w:permEnd w:id="71545662"/>
    </w:p>
    <w:p>
      <w:pPr>
        <w:pStyle w:val="Heading2"/>
      </w:pPr>
      <w:r>
        <w:t>1.2. Stand der Technik und des Wissens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Gibt es bereits </w:t>
      </w:r>
      <w:r>
        <w:rPr>
          <w:b/>
          <w:i/>
        </w:rPr>
        <w:t xml:space="preserve">Anwendungen </w:t>
      </w:r>
      <w:r>
        <w:rPr>
          <w:i/>
        </w:rPr>
        <w:t xml:space="preserve">der eingesetzten Technologien und Methoden in </w:t>
      </w:r>
      <w:r>
        <w:rPr>
          <w:b/>
          <w:i/>
        </w:rPr>
        <w:t xml:space="preserve">anderen Gebieten</w:t>
      </w:r>
      <w:r>
        <w:rPr>
          <w:i/>
        </w:rPr>
        <w:t xml:space="preserve">?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Gibt es wichtige </w:t>
      </w:r>
      <w:r>
        <w:rPr>
          <w:b/>
          <w:i/>
        </w:rPr>
        <w:t xml:space="preserve">Bücher, Fachartikel, Vorträge</w:t>
      </w:r>
      <w:r>
        <w:rPr>
          <w:i/>
        </w:rPr>
        <w:t xml:space="preserve"> für das </w:t>
      </w:r>
      <w:r>
        <w:rPr>
          <w:b/>
          <w:i/>
        </w:rPr>
        <w:t xml:space="preserve">Fachgebiet des Forschungsprojektes</w:t>
      </w:r>
      <w:r>
        <w:rPr>
          <w:i/>
        </w:rPr>
        <w:t xml:space="preserve">? Bei Projekten mit wissenschaftlichem Hintergrund sind auch wissenschaftliche Publikationen anzuführen. 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Wurden für das Projekt </w:t>
      </w:r>
      <w:r>
        <w:rPr>
          <w:b/>
          <w:i/>
        </w:rPr>
        <w:t xml:space="preserve">relevante Vorarbeiten</w:t>
      </w:r>
      <w:r>
        <w:rPr>
          <w:i/>
        </w:rPr>
        <w:t xml:space="preserve"> geleistet bzw </w:t>
      </w:r>
      <w:r>
        <w:rPr>
          <w:b/>
          <w:i/>
        </w:rPr>
        <w:t xml:space="preserve">Vorprojekte </w:t>
      </w:r>
      <w:r>
        <w:rPr>
          <w:i/>
        </w:rPr>
        <w:t xml:space="preserve">durchgeführt?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Wenn ja, welche </w:t>
      </w:r>
      <w:r>
        <w:rPr>
          <w:b/>
          <w:i/>
        </w:rPr>
        <w:t xml:space="preserve">Ergebnisse </w:t>
      </w:r>
      <w:r>
        <w:rPr>
          <w:i/>
        </w:rPr>
        <w:t xml:space="preserve">wurden dabei erzielt?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3"/>
    </w:p>
    <w:p>
      <w:pPr>
        <w:pStyle w:val="TextStart"/>
      </w:pPr>
      <w:r>
        <w:t xml:space="preserve">Im Projektumfeld existieren drei Kategorien etablierter Lösungen, die jeweils wesentliche Anforderungen NICHT erfüllen. Hinzu kommt der wissenschaftliche Wissensstand zur (bilingualen) Sprachentwicklung sowie der technische Stand der Sprach-KI.</w:t>
      </w:r>
    </w:p>
    <w:p>
      <w:pPr>
        <w:pStyle w:val="TextStart"/>
      </w:pPr>
      <w:r>
        <w:rPr>
          <w:b/>
        </w:rPr>
        <w:t xml:space="preserve">1) Bildschirmfreies Audio-Lernspielzeug (z. B. Tonies, Ravensburger tiptoi)</w:t>
      </w:r>
    </w:p>
    <w:p>
      <w:pPr>
        <w:pStyle w:val="TextStart"/>
      </w:pPr>
      <w:r>
        <w:t xml:space="preserve">Marktführend und etabliert, bildschirmfrei – aber </w:t>
      </w:r>
      <w:r>
        <w:rPr>
          <w:b/>
        </w:rPr>
        <w:t xml:space="preserve">einsprachig, vorproduziert und passiv</w:t>
      </w:r>
      <w:r>
        <w:t xml:space="preserve">: kein freier Dialog, keine Spracherkennung, keine Adaptivität, keine Personalisierung. Tonies (Boxine/tonies SE) belegt mit rund </w:t>
      </w:r>
      <w:r>
        <w:rPr>
          <w:b/>
        </w:rPr>
        <w:t xml:space="preserve">480 Mio. EUR Umsatz (FY2024), über 8 Mio. verkauften Tonieboxen und über 100 Mio. Figuren</w:t>
      </w:r>
      <w:r>
        <w:t xml:space="preserve"> die Tragfähigkeit des bildschirmfreien Audio-Kindermarkts – jedoch ohne interaktive Sprach-KI.</w:t>
      </w:r>
    </w:p>
    <w:p>
      <w:pPr>
        <w:pStyle w:val="TextStart"/>
      </w:pPr>
      <w:r>
        <w:rPr>
          <w:b/>
        </w:rPr>
        <w:t xml:space="preserve">2) Bildschirmbasierte Sprachlern-Apps (z. B. Duolingo, Gus on the Go, Lingokids)</w:t>
      </w:r>
    </w:p>
    <w:p>
      <w:pPr>
        <w:pStyle w:val="TextStart"/>
      </w:pPr>
      <w:r>
        <w:t xml:space="preserve">Bieten Interaktivität und teils Adaptivität, sind aber </w:t>
      </w:r>
      <w:r>
        <w:rPr>
          <w:b/>
        </w:rPr>
        <w:t xml:space="preserve">bildschirmgebunden</w:t>
      </w:r>
      <w:r>
        <w:t xml:space="preserve"> (Screen-Time-Problematik bei Kleinkindern) und nutzen überwiegend </w:t>
      </w:r>
      <w:r>
        <w:rPr>
          <w:b/>
        </w:rPr>
        <w:t xml:space="preserve">Public-Cloud-LLMs mit Daten-Sharing</w:t>
      </w:r>
      <w:r>
        <w:t xml:space="preserve">. Kindliche Sprachdaten fließen typischerweise in fremde Cloud-Infrastruktur; ein architektonischer Ausschluss vom Modelltraining ist nicht gegeben. Für Kinder unter ~6 Jahren sind solche Apps pädagogisch wie regulatorisch problematisch.</w:t>
      </w:r>
    </w:p>
    <w:p>
      <w:pPr>
        <w:pStyle w:val="TextStart"/>
      </w:pPr>
      <w:r>
        <w:rPr>
          <w:b/>
        </w:rPr>
        <w:t xml:space="preserve">3) Sprachassistenten / Smart Speaker (z. B. Alexa, Google)</w:t>
      </w:r>
    </w:p>
    <w:p>
      <w:pPr>
        <w:pStyle w:val="TextStart"/>
      </w:pPr>
      <w:r>
        <w:t xml:space="preserve">Verstehen freie Sprache, sind aber </w:t>
      </w:r>
      <w:r>
        <w:rPr>
          <w:b/>
        </w:rPr>
        <w:t xml:space="preserve">nicht kindzentriert</w:t>
      </w:r>
      <w:r>
        <w:t xml:space="preserve"> (ASR für erwachsene Stimmen optimiert), </w:t>
      </w:r>
      <w:r>
        <w:rPr>
          <w:b/>
        </w:rPr>
        <w:t xml:space="preserve">nicht pädagogisch</w:t>
      </w:r>
      <w:r>
        <w:t xml:space="preserve"> und cloud-/datengetrieben. Kinder-ASR ist bekanntermaßen schwer (s. u.).</w:t>
      </w:r>
    </w:p>
    <w:p>
      <w:pPr>
        <w:pStyle w:val="TextStart"/>
      </w:pPr>
      <w:r>
        <w:rPr>
          <w:b/>
        </w:rPr>
        <w:t xml:space="preserve">Wissenschaftlicher Stand des Wissens</w:t>
      </w:r>
    </w:p>
    <w:p>
      <w:pPr>
        <w:pStyle w:val="TextStart"/>
      </w:pPr>
      <w:r>
        <w:t xml:space="preserve">Die pädagogische Konzeption stützt sich auf den etablierten Forschungsstand zur Sprachentwicklung, u. a.: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Hoff et al. (2012)</w:t>
      </w:r>
      <w:r>
        <w:t xml:space="preserve">: Für aktiven Zweitspracherwerb ist ein Sprachexpositions-Anteil von ≥ ~30 % nötig.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Romeo et al. (2018)</w:t>
      </w:r>
      <w:r>
        <w:t xml:space="preserve">: Konversationsqualität („conversational turns") wirkt stärker als reine Sprachmenge – neuronal nachweisbar.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Roediger &amp; Karpicke (2006)</w:t>
      </w:r>
      <w:r>
        <w:t xml:space="preserve">: Testing-Effekt / Spaced Repetition als robuste Lernverstärker.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Mitchell et al. (2024)</w:t>
      </w:r>
      <w:r>
        <w:t xml:space="preserve">: Kognaten (verwandte Wörter zwischen Sprachen) erleichtern den Erwerb messbar.</w:t>
      </w:r>
    </w:p>
    <w:p>
      <w:pPr>
        <w:pStyle w:val="TextStart"/>
      </w:pPr>
      <w:r>
        <w:t xml:space="preserve">Insgesamt fußt die Engine auf über 75 peer-reviewten Studien zur bilingualen Sprachentwicklung.</w:t>
      </w:r>
    </w:p>
    <w:p>
      <w:pPr>
        <w:pStyle w:val="TextStart"/>
      </w:pPr>
      <w:r>
        <w:rPr>
          <w:b/>
        </w:rPr>
        <w:t xml:space="preserve">Technischer Stand der Sprach-KI</w:t>
      </w:r>
    </w:p>
    <w:p>
      <w:pPr>
        <w:pStyle w:val="TextStart"/>
      </w:pPr>
      <w:r>
        <w:t xml:space="preserve">Generische ASR-Systeme (z. B. Whisper-Familie und vergleichbare quelloffene Modelle) sind auf erwachsene Stimmen optimiert und zeigen auf </w:t>
      </w:r>
      <w:r>
        <w:rPr>
          <w:b/>
        </w:rPr>
        <w:t xml:space="preserve">Kinderstimmen deutlich erhöhte Fehlerraten</w:t>
      </w:r>
      <w:r>
        <w:t xml:space="preserve"> (geringe Datenverfügbarkeit, hohe akustische/artikulatorische Varianz, Aussprachefehler, Dialekte). Quelloffene Sprachmodelle (LLMs) ermöglichen privates Self-Hosting, ihre </w:t>
      </w:r>
      <w:r>
        <w:rPr>
          <w:b/>
        </w:rPr>
        <w:t xml:space="preserve">dialogische Qualität in Echtzeit auf gemieteter EU-Infrastruktur ist gegenüber großen Public-Cloud-LLMs jedoch nicht abschließend belegt</w:t>
      </w:r>
      <w:r>
        <w:t xml:space="preserve"> und Gegenstand dieses Projektes.</w:t>
      </w:r>
    </w:p>
    <w:p>
      <w:pPr>
        <w:pStyle w:val="TextStart"/>
      </w:pPr>
      <w:r>
        <w:t xml:space="preserve">Hinsichtlich Output-Sicherheit für Kinder bleibt der Stand der Technik lückenhaft: Cloud-LLM-basierte Kinder-/Sprachlern-Apps liefern keine deterministisch kontrollierbare Output-Sicherheit, da Modell-Outputs probabilistisch sind und Jailbreak-Angriffe dokumentiert sind. Klassisches Audio-Spielzeug (Tonies, tiptoi) liefert demgegenüber nur kuratierte, statische Inhalte — sicher, aber ohne freie, generative Sprachinteraktion. Beide Lager lösen das Sicherheits-Dilemma „generativ UND kindgerecht-deterministisch absicherbar“ nicht.</w:t>
      </w:r>
    </w:p>
    <w:p>
      <w:pPr>
        <w:pStyle w:val="TextStart"/>
      </w:pPr>
      <w:r>
        <w:rPr>
          <w:b/>
        </w:rPr>
        <w:t xml:space="preserve">Eigene Vorarbeiten</w:t>
      </w:r>
    </w:p>
    <w:p>
      <w:pPr>
        <w:pStyle w:val="TextStart"/>
      </w:pPr>
      <w:r>
        <w:t xml:space="preserve">Der Antragsteller verfügt über einen einschlägigen KI/ML-Track-Record (Hintergrund BReact, EU-Tender-erprobt) und hat in eigenfinanzierter Vorarbeit bereits einen funktionsfähigen Prototyp des sprachgesteuerten Lernbegleiters entwickelt: einen lauffähigen Hardware-/Software-Demonstrator (Raspberry-Pi-basiert, mit Mikrofon und Sprachausgabe), der bildschirmfreien Zwei-Wege-Sprachdialog und erste mehrsprachige, dynamisch generierte Geschichten praktisch zeigt. Der Demonstrator läuft bereits auf einem privaten Inferenz-Stack: Die Transkription erfolgt on-premise über quelloffene Modelle (Whisper), und es werden privat gehostete Inferenz-Instanzen auf eigener bzw. gemieteter EU-GPU-Infrastruktur betrieben und erprobt; öffentliche Cloud-LLMs werden dabei lediglich übergangsweise als Qualitäts-Benchmark eingesetzt, solange die privat gehosteten Modelle qualitativ nachgezogen werden. Dieser Prototyp belegt die grundsätzliche Machbarkeit und de-riskt das Vorhaben, ersetzt die offenen wissenschaftlich-technischen Forschungsfragen jedoch ausdrücklich nicht (vgl. Abschnitt 1.6): robuste mehrsprachige Kinder-ASR, Echtzeit-Code-Switching, das Schließen der verbleibenden Qualitätslücke der privaten EU-Inferenz gegenüber den größten Public-Cloud-Modellen sowie – als neue Forschungsrichtung – der Übergang von der heutigen kaskadierten Pipeline (Sprache→Text→Modell→Sprache) zu durchgängigen Speech-to-Speech-Modellen, die bisher nicht erprobt sind. Die im Antrag geförderte F&amp;E-Arbeit beginnt erst nach Antragstellung; der bestehende Prototyp ist abgegrenzte, vorab erbrachte Eigenleistung und nicht Teil der beantragten Arbeiten (Anreizeffekt gewahrt).</w:t>
      </w:r>
    </w:p>
    <w:p>
      <w:r>
        <w:t/>
      </w:r>
      <w:permEnd w:id="71545663"/>
    </w:p>
    <w:p>
      <w:pPr>
        <w:pStyle w:val="Heading2"/>
      </w:pPr>
      <w:r>
        <w:t>1.3. Neuheit und Schutzstrategie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4"/>
    </w:p>
    <w:p>
      <w:pPr>
        <w:pStyle w:val="TextStart"/>
      </w:pPr>
      <w:r>
        <w:rPr>
          <w:b/>
        </w:rPr>
        <w:t xml:space="preserve">Neuheit gegenüber dem Stand der Technik</w:t>
      </w:r>
    </w:p>
    <w:p>
      <w:pPr>
        <w:pStyle w:val="TextStart"/>
      </w:pPr>
      <w:r>
        <w:t xml:space="preserve">Plappi ist nach derzeitigem Kenntnisstand des Antragstellers eine </w:t>
      </w:r>
      <w:r>
        <w:rPr>
          <w:b/>
        </w:rPr>
        <w:t xml:space="preserve">internationale Branchen-Neuheit</w:t>
      </w:r>
      <w:r>
        <w:t xml:space="preserve">: das erste Produkt, das (a) freien, sprachgesteuerten, </w:t>
      </w:r>
      <w:r>
        <w:rPr>
          <w:b/>
        </w:rPr>
        <w:t xml:space="preserve">bildschirmfreien</w:t>
      </w:r>
      <w:r>
        <w:t xml:space="preserve"> Dialog für Kinder, (b) </w:t>
      </w:r>
      <w:r>
        <w:rPr>
          <w:b/>
        </w:rPr>
        <w:t xml:space="preserve">mehrsprachig inkl. Echtzeit-Code-Switching</w:t>
      </w:r>
      <w:r>
        <w:t xml:space="preserve"> mit kindzentrierter Spracherkennung, (c) auf </w:t>
      </w:r>
      <w:r>
        <w:rPr>
          <w:b/>
        </w:rPr>
        <w:t xml:space="preserve">privater EU-Inferenz mit architektonischem Trainingsausschluss kindlicher Daten</w:t>
      </w:r>
      <w:r>
        <w:t xml:space="preserve"> und (d) einer </w:t>
      </w:r>
      <w:r>
        <w:rPr>
          <w:b/>
        </w:rPr>
        <w:t xml:space="preserve">adaptiven, wissenschaftlich fundierten Pädagogik-Engine</w:t>
      </w:r>
      <w:r>
        <w:t xml:space="preserve"> in einem Gerät vereint. Die Neuheit liegt nicht in einer Einzelkomponente, sondern in der bisher nicht existierenden, technisch anspruchsvollen Integration dieser vier Eigenschaften.</w:t>
      </w:r>
    </w:p>
    <w:p>
      <w:pPr>
        <w:pStyle w:val="TextStart"/>
      </w:pPr>
      <w:r>
        <w:rPr>
          <w:b/>
        </w:rPr>
        <w:t xml:space="preserve">Klare Abgrenzung</w:t>
      </w:r>
    </w:p>
    <w:tbl>
      <w:tblPr>
        <w:tblW w:w="9000" w:type="dxa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250"/>
        <w:gridCol w:w="2250"/>
        <w:gridCol w:w="2250"/>
        <w:gridCol w:w="2250"/>
      </w:tblGrid>
      <w:tr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Dimension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Audio-Spielzeug (Tonies/tiptoi)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Sprachlern-Apps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Plappi (neu)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Bildschirmfrei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nein (Screen)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Freier Dialog / ASR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nein (passiv)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teilweise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 (Kinder-ASR)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Mehrsprachig / Code-Switching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nein (einsprachig)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begrenzt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Datensouveränität (kein Training mit Kinderdaten)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n/a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nein (Cloud-LLM, Daten-Sharing)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 (private EU-Inferenz)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Adaptive, fundierte Pädagogik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nein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teilweise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ja (Spaced Repetition, Kognaten)</w:t>
            </w:r>
          </w:p>
        </w:tc>
      </w:tr>
    </w:tbl>
    <w:p>
      <w:pPr>
        <w:pStyle w:val="TextStart"/>
      </w:pPr>
      <w:r>
        <w:t xml:space="preserve">Tonies/tiptoi sind einsprachig und passiv; Sprachlern-Apps sind bildschirmgebunden und nutzen Public-Cloud-LLMs mit Daten-Sharing. Plappi schließt genau diese Lücken.</w:t>
      </w:r>
    </w:p>
    <w:p>
      <w:pPr>
        <w:pStyle w:val="TextStart"/>
      </w:pPr>
      <w:r>
        <w:t xml:space="preserve">Zusätzliche Abgrenzungs-Dimension Output-Sicherheit / Guardrails: Tonies/tiptoi sind kuratiert (sicher, aber nicht generativ); App-Lösungen sind generativ, aber den Risiken von Public-Cloud-LLMs ausgesetzt (probabilistische Outputs, Jailbreak-Risiko); Plappi ist generativ, privat gehostet und durch einen mehrschichtigen Guardrail-Stack abgesichert (Detail in Abschnitt 1.6, Risikofeld 5).</w:t>
      </w:r>
    </w:p>
    <w:p>
      <w:pPr>
        <w:pStyle w:val="TextStart"/>
      </w:pPr>
      <w:r>
        <w:rPr>
          <w:b/>
        </w:rPr>
        <w:t xml:space="preserve">Schutzstrategie</w:t>
      </w:r>
    </w:p>
    <w:p>
      <w:pPr>
        <w:pStyle w:val="TextStart"/>
      </w:pPr>
      <w:r>
        <w:t xml:space="preserve">Der Schutz vor Nachahmung erfolgt mehrschichtig: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Markenschutz</w:t>
      </w:r>
      <w:r>
        <w:t xml:space="preserve">: Anmeldung der Wortmarke „Plappi" (geplant über aws Innovationsschutz) zur Sicherung von Marke und Wiedererkennung.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Technologischer Vorsprung / Know-how-Schutz</w:t>
      </w:r>
      <w:r>
        <w:t xml:space="preserve">: proprietäre, auf Kinderstimmen feinabgestimmte ASR/TTS-Modelle, kuratierte mehrsprachige Trainings-/Annotationsdaten für Kinder, die private Inferenz-Architektur und die Pädagogik-Engine bilden einen schwer kopierbaren, datengetriebenen Vorsprung (Lead-Time-Advantage).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Geschäftsgeheimnisse</w:t>
      </w:r>
      <w:r>
        <w:t xml:space="preserve">: vertrauliche Behandlung von Modellen, Datensätzen, Trainingsrezepten und Architektur; vertragliche NDAs mit Dienstleistern.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Datensouveränität als Vertrauens-Asset</w:t>
      </w:r>
      <w:r>
        <w:t xml:space="preserve">: der „by design"-Trainingsausschluss ist zugleich regulatorischer und reputativer Burggraben.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Guardrail-Stack als Know-how-Asset: die mehrschichtige, altersdifferenzierte Output-Sicherheits-Architektur (Prompt-Hardening, Constrained Decoding, Output-Klassifizierer, deterministische Antwort-Templates, Red-Teaming) ist eigenständiges, vertraulich behandeltes Know-how und Differenzierungs-Asset.</w:t>
      </w:r>
    </w:p>
    <w:p>
      <w:pPr>
        <w:pStyle w:val="TextStart"/>
      </w:pPr>
      <w:r>
        <w:rPr>
          <w:b/>
        </w:rPr>
        <w:t xml:space="preserve">Patente</w:t>
      </w:r>
      <w:r>
        <w:t xml:space="preserve"> werden vorerst </w:t>
      </w:r>
      <w:r>
        <w:rPr>
          <w:b/>
        </w:rPr>
        <w:t xml:space="preserve">bewusst nicht</w:t>
      </w:r>
      <w:r>
        <w:t xml:space="preserve"> angestrebt: Die Innovation liegt überwiegend in Software, Modellen, Daten und Systemintegration, wo Patentschutz im Verhältnis zu Kosten, Offenlegungszwang und schneller Iteration für ein Startup wenig wirtschaftlich ist; Lead-Time, Marke und Geschäftsgeheimnis bieten hier den besseren Schutz. Eine spätere Patentierung einzelner Hardware-/Verfahrensaspekte bleibt offen.</w:t>
      </w:r>
    </w:p>
    <w:p>
      <w:pPr>
        <w:pStyle w:val="TextStart"/>
      </w:pPr>
      <w:r>
        <w:rPr>
          <w:b/>
        </w:rPr>
        <w:t xml:space="preserve">Patentrecherche</w:t>
      </w:r>
    </w:p>
    <w:p>
      <w:pPr>
        <w:pStyle w:val="TextStart"/>
      </w:pPr>
      <w:r>
        <w:t xml:space="preserve">Es wurde eine </w:t>
      </w:r>
      <w:r>
        <w:rPr>
          <w:b/>
        </w:rPr>
        <w:t xml:space="preserve">orientierende Patent-/Marktrecherche</w:t>
      </w:r>
      <w:r>
        <w:t xml:space="preserve"> durchgeführt (Recherche zu vergleichbaren bildschirmfreien Sprach-/Lerngeräten und Kinder-ASR-Verfahren). Dabei wurden </w:t>
      </w:r>
      <w:r>
        <w:rPr>
          <w:b/>
        </w:rPr>
        <w:t xml:space="preserve">keine Schutzrechte identifiziert, die die geplante Entwicklung blockieren würden</w:t>
      </w:r>
      <w:r>
        <w:t xml:space="preserve"> (Stand der Recherche, vom Antragsteller vor Einreichung formal zu bestätigen). Eine vertiefte Freedom-to-Operate-Recherche im Zuge der Markenanmeldung (aws Innovationsschutz) ist vorgesehen.</w:t>
      </w:r>
    </w:p>
    <w:p>
      <w:r>
        <w:t/>
      </w:r>
      <w:permEnd w:id="71545664"/>
    </w:p>
    <w:p>
      <w:pPr>
        <w:pStyle w:val="Heading2"/>
      </w:pPr>
      <w:r>
        <w:t>1.4. Nutzen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5"/>
    </w:p>
    <w:p>
      <w:pPr>
        <w:pStyle w:val="TextStart"/>
      </w:pPr>
      <w:r>
        <w:rPr>
          <w:b/>
        </w:rPr>
        <w:t xml:space="preserve">Vorteile gegenüber dem Stand der Technik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Datensouveränität</w:t>
      </w:r>
      <w:r>
        <w:t xml:space="preserve">: Gespräche der Kinder werden ausschließlich in der EU verarbeitet und sind architektonisch vom KI-Training ausgeschlossen – ein klarer, regulatorisch (DSGVO, EU-AI-Act) und reputativ relevanter Vorteil gegenüber Cloud-LLM-Apps.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Bildschirmfreiheit</w:t>
      </w:r>
      <w:r>
        <w:t xml:space="preserve">: pädagogisch wertvoll, vermeidet Screen-Time, erschließt die Altersgruppe unter 6 Jahren, für die App-Lösungen ungeeignet sind.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Aktiver, mehrsprachiger Dialog statt passivem Audio</w:t>
      </w:r>
      <w:r>
        <w:t xml:space="preserve">: erhöht die für Spracherwerb entscheidenden „conversational turns" (Romeo et al., 2018) – im Gegensatz zu passivem Audio-Spielzeug.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Wissenschaftlich fundierte Adaptivität</w:t>
      </w:r>
      <w:r>
        <w:t xml:space="preserve">: Spaced Repetition (Roediger &amp; Karpicke, 2006) und Kognaten-Nutzung (Mitchell et al., 2024) steigern die Lerneffizienz; Personalisierung erhöht Motivation und Verweildauer.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Verlässliche, kontrollierbare KI-Outputs: durch private Inferenz und die mehrschichtige Guardrail-Architektur sind Outputs deterministisch einschränkbar — ein konkretes Vertrauensargument gegenüber Eltern, Lehrer:innen und Bildungseinrichtungen und ein klares Differenzierungs-USP gegenüber generischen KI-Assistenten (Cloud-LLMs).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Marktrückenwind durch wachsende Akzeptanz bildschirmfreier, vernetzter Kinder-Spielprodukte (Tonies SE FY2024 ~480 Mio. EUR Umsatz, &gt; 8 Mio. Tonieboxen kumuliert; Connected-Toys-Markt mit CAGR ~19–25 % laut market.us 2024): die Adoptions-Hürde für vernetzte Audio-Hardware im Kinderzimmer ist gesellschaftlich bereits genommen.</w:t>
      </w:r>
    </w:p>
    <w:p>
      <w:pPr>
        <w:pStyle w:val="TextStart"/>
      </w:pPr>
      <w:r>
        <w:rPr>
          <w:b/>
        </w:rPr>
        <w:t xml:space="preserve">Quantifizierung der erwarteten Auswirkungen (Richtwerte)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Zielgruppengröße</w:t>
      </w:r>
      <w:r>
        <w:t xml:space="preserve">: rund </w:t>
      </w:r>
      <w:r>
        <w:rPr>
          <w:b/>
        </w:rPr>
        <w:t xml:space="preserve">65,6 Mio. Kinder (0–14 J.) in der EU</w:t>
      </w:r>
      <w:r>
        <w:t xml:space="preserve"> (Eurostat, 2024); 89,4 % der Oberstufenschüler lernen Englisch als Fremdsprache – große Basis für mehrsprachige Förderung.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Expositions-Hebel</w:t>
      </w:r>
      <w:r>
        <w:t xml:space="preserve">: Plappi kann den für aktiven Erwerb nötigen ~30 %-Anteil an Zweitsprach-Exposition (Hoff et al., 2012) in Familien ohne zweiten Muttersprachler erstmals niederschwellig bereitstellen.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Lerneffizienz</w:t>
      </w:r>
      <w:r>
        <w:t xml:space="preserve">: messbare Verbesserung von Wortschatz-Retention und aktiver Sprachproduktion in geplanten A/B-Lernwirksamkeitstests gegenüber passivem Audio (Zielgröße: ≥ 20 % höhere Wortschatz-Retention nach 7 Tagen gegenüber passivem Audio).</w:t>
      </w:r>
    </w:p>
    <w:p>
      <w:pPr>
        <w:pStyle w:val="TextStart"/>
      </w:pPr>
      <w:r>
        <w:rPr>
          <w:b/>
        </w:rPr>
        <w:t xml:space="preserve">Technische Vorteile für die Zielgruppen</w:t>
      </w:r>
    </w:p>
    <w:p>
      <w:pPr>
        <w:pStyle w:val="TextStart"/>
      </w:pPr>
      <w:r>
        <w:t xml:space="preserve">Für </w:t>
      </w:r>
      <w:r>
        <w:rPr>
          <w:b/>
        </w:rPr>
        <w:t xml:space="preserve">Kinder</w:t>
      </w:r>
      <w:r>
        <w:t xml:space="preserve">: kindgerechte, fehlertolerante Spracherkennung mit sanfter Korrektur; altersgerechte Progression. Für </w:t>
      </w:r>
      <w:r>
        <w:rPr>
          <w:b/>
        </w:rPr>
        <w:t xml:space="preserve">Eltern</w:t>
      </w:r>
      <w:r>
        <w:t xml:space="preserve">: transparentes Dashboard, Datenschutz-Sicherheit, kein Bildschirm. Für </w:t>
      </w:r>
      <w:r>
        <w:rPr>
          <w:b/>
        </w:rPr>
        <w:t xml:space="preserve">die Gesellschaft</w:t>
      </w:r>
      <w:r>
        <w:t xml:space="preserve">: niederschwelliger Sprachzugang unabhängig vom Bildungsbudget.</w:t>
      </w:r>
    </w:p>
    <w:p>
      <w:pPr>
        <w:pStyle w:val="TextStart"/>
      </w:pPr>
      <w:r>
        <w:rPr>
          <w:b/>
        </w:rPr>
        <w:t xml:space="preserve">Nachteile / Grenzen</w:t>
      </w:r>
    </w:p>
    <w:p>
      <w:pPr>
        <w:pStyle w:val="TextStart"/>
      </w:pPr>
      <w:r>
        <w:t xml:space="preserve">Sprachgesteuerte Hardware ist in lauten Umgebungen herausfordernd (Fernfeld-ASR); private EU-Inferenz kann ggü. den größten Public-LLMs Qualitäts-/Latenz-Kompromisse bedeuten (Gegenstand der F&amp;E, vgl. 1.6). Anschaffungskosten liegen über reinem Audio-Spielzeug, werden aber durch Funktionsumfang und Datenschutz gerechtfertigt.</w:t>
      </w:r>
    </w:p>
    <w:p>
      <w:r>
        <w:t/>
      </w:r>
      <w:permEnd w:id="71545665"/>
    </w:p>
    <w:p>
      <w:pPr>
        <w:pStyle w:val="Heading2"/>
      </w:pPr>
      <w:r>
        <w:t>1.5. Nachhaltige Wirkung der Projektinhalte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pStyle w:val="Heading3"/>
      </w:pPr>
      <w:r>
        <w:t>1.5.1. Ökologie</w:t>
      </w:r>
    </w:p>
    <w:p>
      <w:pPr>
        <w:pStyle w:val="ListParagraph"/>
        <w:numPr>
          <w:ilvl w:val="0"/>
          <w:numId w:val="4"/>
        </w:numPr>
      </w:pPr>
      <w:r>
        <w:rPr>
          <w:i/>
        </w:rPr>
        <w:t xml:space="preserve">Wie werden die </w:t>
      </w:r>
      <w:r>
        <w:rPr>
          <w:b/>
          <w:i/>
        </w:rPr>
        <w:t xml:space="preserve">Nachhaltigkeitsziele durch </w:t>
      </w:r>
      <w:r>
        <w:rPr>
          <w:i/>
        </w:rPr>
        <w:t xml:space="preserve">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 erreicht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</w:t>
      </w:r>
      <w:r>
        <w:rPr>
          <w:i/>
        </w:rPr>
        <w:t xml:space="preserve"> 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  <w:t xml:space="preserve"> 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Klimaschutz </w:t>
      </w:r>
      <w:r>
        <w:rPr>
          <w:i/>
        </w:rPr>
        <w:t xml:space="preserve">(Luft, Wasser, Boden, Lärm),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Ressourcenverbrauch </w:t>
      </w:r>
      <w:r>
        <w:rPr>
          <w:i/>
        </w:rPr>
        <w:t xml:space="preserve">(zB Kreislaufwirtschaft, erneuerbarer Ressourcen, Zugang zu nachhaltigen Produkten für Konsumenten),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Energieverbrauch </w:t>
      </w:r>
      <w:r>
        <w:rPr>
          <w:i/>
        </w:rPr>
        <w:t xml:space="preserve">(zB Reduzierung, saubere Energie, Dekarbonisierung)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7"/>
    </w:p>
    <w:p>
      <w:pPr>
        <w:pStyle w:val="TextStart"/>
      </w:pPr>
      <w:r>
        <w:t xml:space="preserve">Nachhaltigkeit ist ein </w:t>
      </w:r>
      <w:r>
        <w:rPr>
          <w:b/>
        </w:rPr>
        <w:t xml:space="preserve">Hauptziel</w:t>
      </w:r>
      <w:r>
        <w:t xml:space="preserve"> des Projektes, nicht ein Nebeneffekt. Ökologisch adressiert Plappi v. a. </w:t>
      </w:r>
      <w:r>
        <w:rPr>
          <w:b/>
        </w:rPr>
        <w:t xml:space="preserve">SDG 12 (nachhaltige Produktion/Konsum)</w:t>
      </w:r>
      <w:r>
        <w:t xml:space="preserve"> und </w:t>
      </w:r>
      <w:r>
        <w:rPr>
          <w:b/>
        </w:rPr>
        <w:t xml:space="preserve">SDG 13 (Klimaschutz)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Energieeffiziente EU-Inferenz</w:t>
      </w:r>
      <w:r>
        <w:t xml:space="preserve">: bewusste Wahl quelloffener, ressourcensparender Modelle und optimierter Inferenz-Pipelines (Quantisierung, Batching) statt überdimensionierter Public-Cloud-LLM-Aufrufe; Hosting in EU-Rechenzentren mit zunehmend dekarbonisiertem Strommix. Energie-/CO2-Verbrauch je Dialog wird im Projekt als Metrik erfasst und optimiert.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Langlebige Hardware</w:t>
      </w:r>
      <w:r>
        <w:t xml:space="preserve">: Auslegung auf Reparierbarkeit, austauschbare Komponenten, langfristige Firmware-Updatebarkeit und robustes Gehäuse – gegen Wegwerf-Elektronik; Ziel ist eine mehrjährige Nutzungsdauer über mehrere Kinder/Geschwister hinweg.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Bildschirmfreiheit</w:t>
      </w:r>
      <w:r>
        <w:t xml:space="preserve"> reduziert Display-Produktion und -Energieverbrauch und vermeidet die ökologisch wie gesundheitlich kritische Bildschirmnutzung.</w:t>
      </w:r>
    </w:p>
    <w:p>
      <w:pPr>
        <w:pStyle w:val="TextStart"/>
      </w:pPr>
      <w:r>
        <w:rPr>
          <w:b/>
        </w:rPr>
        <w:t xml:space="preserve">Erfolgsmessung</w:t>
      </w:r>
      <w:r>
        <w:t xml:space="preserve">: Energie-/CO2-Kennzahl pro Inferenz, Anteil reparierbarer Komponenten, dokumentierte Update-Fähigkeit. Mögliche Nachteile (Elektronik-/Rohstoffeinsatz, Compute-Energie) werden durch effiziente Inferenz, Langlebigkeit und Geräte-Recyclingkonzept adressiert.</w:t>
      </w:r>
    </w:p>
    <w:p>
      <w:r>
        <w:t/>
      </w:r>
      <w:permEnd w:id="71545667"/>
    </w:p>
    <w:p>
      <w:pPr>
        <w:pStyle w:val="Heading3"/>
      </w:pPr>
      <w:r>
        <w:t>1.5.2. Soziales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durch 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 </w:t>
      </w:r>
      <w:r>
        <w:rPr>
          <w:i/>
        </w:rPr>
        <w:t xml:space="preserve">erreicht?</w:t>
      </w:r>
      <w:r>
        <w:br/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 </w:t>
      </w:r>
      <w:r>
        <w:rPr>
          <w:i/>
        </w:rPr>
        <w:t xml:space="preserve">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  <w:t xml:space="preserve"> 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Gender- oder Diversitätsaspekte</w:t>
      </w:r>
      <w:r>
        <w:rPr>
          <w:i/>
        </w:rPr>
        <w:t xml:space="preserve"> im Lösungsansatz (zB diverses Nutzungsverhalten, körperliche und kulturelle Unterschiede, Bias der AI-Daten und Transparenz der AI-Entscheidungen, Digitalisierungsalternativen für Senioren),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Gesundheitliche Herausforderungen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Bildungskonzepte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7"/>
        </w:numPr>
      </w:pPr>
      <w:r>
        <w:rPr>
          <w:i/>
        </w:rPr>
        <w:t xml:space="preserve">Methoden, Services und Produkte mit positiven Beitrag zur </w:t>
      </w:r>
      <w:r>
        <w:rPr>
          <w:b/>
          <w:i/>
        </w:rPr>
        <w:t xml:space="preserve">Inklusion</w:t>
      </w:r>
      <w:r>
        <w:rPr>
          <w:i/>
        </w:rPr>
        <w:t xml:space="preserve">, leistbare Services nachhaltiger Urbanisierung und Mobilität, Frugale Innovation etc.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8"/>
    </w:p>
    <w:p>
      <w:pPr>
        <w:pStyle w:val="TextStart"/>
      </w:pPr>
      <w:r>
        <w:t xml:space="preserve">Die soziale Dimension ist </w:t>
      </w:r>
      <w:r>
        <w:rPr>
          <w:b/>
        </w:rPr>
        <w:t xml:space="preserve">zentrales Hauptziel</w:t>
      </w:r>
      <w:r>
        <w:t xml:space="preserve">. Im Vordergrund stehen </w:t>
      </w:r>
      <w:r>
        <w:rPr>
          <w:b/>
        </w:rPr>
        <w:t xml:space="preserve">SDG 4 (hochwertige Bildung)</w:t>
      </w:r>
      <w:r>
        <w:t xml:space="preserve">, </w:t>
      </w:r>
      <w:r>
        <w:rPr>
          <w:b/>
        </w:rPr>
        <w:t xml:space="preserve">SDG 10 (weniger Ungleichheiten)</w:t>
      </w:r>
      <w:r>
        <w:t xml:space="preserve"> und </w:t>
      </w:r>
      <w:r>
        <w:rPr>
          <w:b/>
        </w:rPr>
        <w:t xml:space="preserve">SDG 16 (Schutz der Privatsphäre/kindgerechte Institutionen)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SDG 4 – Bildung</w:t>
      </w:r>
      <w:r>
        <w:t xml:space="preserve">: niederschwelliger, qualitativ hochwertiger Zugang zu mehrsprachiger Sprachförderung für Kinder 2–15, unabhängig davon, ob ein zweiter Muttersprachler im Haushalt verfügbar ist. Wissenschaftlich fundiert (≥30 %-Exposition, Hoff et al. 2012; Konversationsqualität, Romeo et al. 2018).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SDG 10 – weniger Ungleichheiten</w:t>
      </w:r>
      <w:r>
        <w:t xml:space="preserve">: Sprachzugang wird vom Bildungsbudget der Familie entkoppelt; Kinder aus nicht-akademischen oder migrantischen Haushalten erhalten Zugang zu Förderung, die sonst teuren Kursen/Nachhilfe vorbehalten ist.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SDG 16 / Kinderschutz</w:t>
      </w:r>
      <w:r>
        <w:t xml:space="preserve">: datensouveräne, kindgerechte KI – kein Training mit Kinderdaten, EU-Verarbeitung, EU-AI-Act-konform „by design"; setzt einen positiven Branchenstandard für vertrauenswürdige Kinder-KI.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Schutz vor altersinadäquaten Inhalten: deterministisch abgesicherte Output-Guardrails (alters- und themenspezifische Allowlists, Schimpfwort-/PII-/Themen-Filter, Red-Teaming mit Kinderschutz- und Pädagogik-Expert:innen) schützen Kinder vor unangemessenen Inhalten, Manipulationsmustern und problematischen parasozialen Bindungen; Eltern werden über einen datenschutzkonformen Eltern-Mode (Auffälligkeits-Flags ohne Sprachaufzeichnung) transparent informiert.</w:t>
      </w:r>
    </w:p>
    <w:p>
      <w:pPr>
        <w:pStyle w:val="TextStart"/>
      </w:pPr>
      <w:r>
        <w:rPr>
          <w:b/>
        </w:rPr>
        <w:t xml:space="preserve">Erfolgsmessung</w:t>
      </w:r>
      <w:r>
        <w:t xml:space="preserve">: Lernwirksamkeit (A/B-Tests, Wortschatz-/Sprachproduktions-Zuwachs), Reichweite in unterversorgten Zielgruppen, Datenschutz-Audits. Mögliche soziale Nachteile (Geräteersatz für menschliche Interaktion) werden durch bewusste Positionierung als </w:t>
      </w:r>
      <w:r>
        <w:rPr>
          <w:b/>
        </w:rPr>
        <w:t xml:space="preserve">Ergänzung</w:t>
      </w:r>
      <w:r>
        <w:t xml:space="preserve"> der elterlichen Sprachzeit und durch begrenzte, dialogfördernde Nutzung adressiert.</w:t>
      </w:r>
    </w:p>
    <w:p>
      <w:r>
        <w:t/>
      </w:r>
      <w:permEnd w:id="71545668"/>
    </w:p>
    <w:p>
      <w:pPr>
        <w:pStyle w:val="Heading3"/>
      </w:pPr>
      <w:r>
        <w:t>1.5.3. Ökonomie</w:t>
      </w:r>
    </w:p>
    <w:p>
      <w:pPr>
        <w:pStyle w:val="ListParagraph"/>
        <w:numPr>
          <w:ilvl w:val="0"/>
          <w:numId w:val="8"/>
        </w:numPr>
      </w:pPr>
      <w:r>
        <w:rPr>
          <w:i/>
        </w:rPr>
        <w:t xml:space="preserve">Wie 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durch 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</w:t>
      </w:r>
      <w:r>
        <w:rPr>
          <w:b/>
          <w:i/>
        </w:rPr>
        <w:t xml:space="preserve">erreicht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 </w:t>
      </w:r>
      <w:r>
        <w:rPr>
          <w:i/>
        </w:rPr>
        <w:t xml:space="preserve">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  <w:t xml:space="preserve"> 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9"/>
    </w:p>
    <w:p>
      <w:pPr>
        <w:pStyle w:val="TextStart"/>
      </w:pPr>
      <w:r>
        <w:t xml:space="preserve">Ökonomisch adressiert das Projekt v. a. </w:t>
      </w:r>
      <w:r>
        <w:rPr>
          <w:b/>
        </w:rPr>
        <w:t xml:space="preserve">SDG 8 (menschenwürdige Arbeit/Wirtschaftswachstum)</w:t>
      </w:r>
      <w:r>
        <w:t xml:space="preserve"> und </w:t>
      </w:r>
      <w:r>
        <w:rPr>
          <w:b/>
        </w:rPr>
        <w:t xml:space="preserve">SDG 9 (Industrie, Innovation, Infrastruktur)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SDG 9 – Innovation</w:t>
      </w:r>
      <w:r>
        <w:t xml:space="preserve">: Aufbau einer neuartigen, europäischen Technologiebasis für kindgerechte, datensouveräne Sprach-KI und private EU-Inferenz – ein zukunftsträchtiges, exportfähiges Innovationsfeld.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SDG 8 – qualifizierte Arbeit</w:t>
      </w:r>
      <w:r>
        <w:t xml:space="preserve">: Schaffung hochqualifizierter F&amp;E-Arbeitsplätze in Wien (ML/Speech-, Embedded-Engineering) und Aufbau eigener F&amp;E-Kompetenz in einem jungen Unternehmen.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Digitale Souveränität Europas</w:t>
      </w:r>
      <w:r>
        <w:t xml:space="preserve">: Reduktion der Abhängigkeit von außereuropäischen Cloud-LLM-Anbietern durch private EU-Inferenz auf quelloffenen Modellen – Beitrag zu europäischer technologischer Resilienz.</w:t>
      </w:r>
    </w:p>
    <w:p>
      <w:pPr>
        <w:pStyle w:val="TextStart"/>
      </w:pPr>
      <w:r>
        <w:rPr>
          <w:b/>
        </w:rPr>
        <w:t xml:space="preserve">Erfolgsmessung</w:t>
      </w:r>
      <w:r>
        <w:t xml:space="preserve">: Anzahl geschaffener F&amp;E-Arbeitsplätze, Wertschöpfung in Österreich, Aufbau eigener IP/Datenbestände. Das Geschäftsmodell (Gerät + Abo) zielt auf nachhaltige, tragfähige Erträge statt auf datengetriebene Monetarisierung kindlicher Nutzerdaten.</w:t>
      </w:r>
    </w:p>
    <w:p>
      <w:r>
        <w:t/>
      </w:r>
      <w:permEnd w:id="71545669"/>
    </w:p>
    <w:p>
      <w:pPr>
        <w:pStyle w:val="Heading2"/>
      </w:pPr>
      <w:r>
        <w:t>1.6. Entwicklungsrisiken und Lösungsvorschläge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0"/>
    </w:p>
    <w:p>
      <w:pPr>
        <w:pStyle w:val="TextStart"/>
      </w:pPr>
      <w:r>
        <w:t xml:space="preserve">Das Projekt ist durch </w:t>
      </w:r>
      <w:r>
        <w:rPr>
          <w:b/>
        </w:rPr>
        <w:t xml:space="preserve">erhebliches technisches Forschungsrisiko</w:t>
      </w:r>
      <w:r>
        <w:t xml:space="preserve"> gekennzeichnet; der </w:t>
      </w:r>
      <w:r>
        <w:rPr>
          <w:b/>
        </w:rPr>
        <w:t xml:space="preserve">Ausgang zentraler Entwicklungsfragen steht nicht fest</w:t>
      </w:r>
      <w:r>
        <w:t xml:space="preserve">. Es handelt sich um experimentelle Entwicklung mit offenen Forschungsfragen, deren Lösung über den heutigen Stand der Technik hinausgeht. Das Risiko wird </w:t>
      </w:r>
      <w:r>
        <w:rPr>
          <w:b/>
        </w:rPr>
        <w:t xml:space="preserve">vollständig vom Antragsteller getragen</w:t>
      </w:r>
      <w:r>
        <w:t xml:space="preserve"> und nicht an Dritte ausgelagert. Im Folgenden werden die fünf zentralen technischen Problemfelder, ihre offenen Forschungsfragen, das jeweilige Risiko (Eintrittswahrscheinlichkeit/Auswirkung) sowie der methodische Lösungsansatz dargestellt.</w:t>
      </w:r>
    </w:p>
    <w:p>
      <w:pPr>
        <w:pStyle w:val="TextStart"/>
      </w:pPr>
      <w:r>
        <w:rPr>
          <w:b/>
        </w:rPr>
        <w:t xml:space="preserve">Übersicht: Risiko-Matrix</w:t>
      </w:r>
    </w:p>
    <w:tbl>
      <w:tblPr>
        <w:tblW w:w="9000" w:type="dxa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250"/>
        <w:gridCol w:w="2250"/>
        <w:gridCol w:w="2250"/>
        <w:gridCol w:w="2250"/>
      </w:tblGrid>
      <w:tr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Risikofeld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Offene Forschungsfrage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Risiko</w:t>
            </w:r>
          </w:p>
        </w:tc>
        <w:tc>
          <w:tcPr>
            <w:tcW w:w="225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Lösungsansatz (Methodik)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1. Kinder-ASR-Robustheit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Erreichbare WER/CER auf Kinderstimmen 2–15 inkl. Dialekte/Aussprachefehler?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hoch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Datenerhebung/-annotation, gezieltes Finetuning, Daten-Augmentation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2. Echtzeit-Code-Switching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Sprachwechsel im Satz robust auf ressourcenbeschr. HW erkennbar?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hoch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Mehrsprach-Modelle, Sprach-ID, Latenz-Optimierung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3. Private EU-Inferenz-Qualität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Dialogqualität quelloffener Modelle vs. Public-LLM bei akzeptabler Latenz?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mittel-hoch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Modell-Benchmarking, Finetuning, Inferenz-Optimierung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 xml:space="preserve">4. Pädagogische Wirksamkeit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Erzielt adaptive Engine messbaren Lernvorteil?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mittel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 xml:space="preserve">A/B-Lernwirksamkeitstests, iterative Validierung</w:t>
            </w:r>
          </w:p>
        </w:tc>
      </w:tr>
      <w:tr>
        <w:tc>
          <w:tcPr>
            <w:tcW w:w="2250" w:type="dxa"/>
          </w:tcPr>
          <w:p>
            <w:pPr>
              <w:pStyle w:val="TextStart"/>
            </w:pPr>
            <w:r>
              <w:t>5. Sichere KI-Outputs (Guardrails)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>Deterministische, altersgerechte Output-Garantien auf privater Inferenz, robust gegen Jailbreaks?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>hoch</w:t>
            </w:r>
          </w:p>
        </w:tc>
        <w:tc>
          <w:tcPr>
            <w:tcW w:w="2250" w:type="dxa"/>
          </w:tcPr>
          <w:p>
            <w:pPr>
              <w:pStyle w:val="TextStart"/>
            </w:pPr>
            <w:r>
              <w:t>Mehrschichtiger Guardrail-Stack: Prompt-Hardening, Constrained Decoding, Output-Klassifizierer, Red-Teaming</w:t>
            </w:r>
          </w:p>
        </w:tc>
      </w:tr>
    </w:tbl>
    <w:p>
      <w:pPr>
        <w:pStyle w:val="TextStart"/>
      </w:pPr>
      <w:r>
        <w:rPr>
          <w:b/>
        </w:rPr>
        <w:t xml:space="preserve">Risikofeld 1 – Robuste mehrsprachige Kinder-Spracherkennung (ASR/TTS)</w:t>
      </w:r>
    </w:p>
    <w:p>
      <w:pPr>
        <w:pStyle w:val="TextStart"/>
      </w:pPr>
      <w:r>
        <w:rPr>
          <w:b/>
        </w:rPr>
        <w:t xml:space="preserve">Technisches Problem</w:t>
      </w:r>
      <w:r>
        <w:t xml:space="preserve">: Kinderstimmen sind für ASR notorisch schwer – kurze Vokaltrakte, hohe Grundfrequenz, instabile Artikulation, Aussprachefehler, Dialekte und insgesamt </w:t>
      </w:r>
      <w:r>
        <w:rPr>
          <w:b/>
        </w:rPr>
        <w:t xml:space="preserve">wenig verfügbare Trainingsdaten</w:t>
      </w:r>
      <w:r>
        <w:t xml:space="preserve">. Generische Modelle (z. B. Whisper-Familie) zeigen auf Kindersprache deutlich erhöhte Fehlerraten.</w:t>
      </w:r>
    </w:p>
    <w:p>
      <w:pPr>
        <w:pStyle w:val="TextStart"/>
      </w:pPr>
      <w:r>
        <w:rPr>
          <w:b/>
        </w:rPr>
        <w:t xml:space="preserve">Offene Forschungsfrage / Risiko</w:t>
      </w:r>
      <w:r>
        <w:t xml:space="preserve">: Es ist offen, ob über Datenerhebung und Finetuning eine </w:t>
      </w:r>
      <w:r>
        <w:rPr>
          <w:b/>
        </w:rPr>
        <w:t xml:space="preserve">dialogtaugliche Wortfehlerrate</w:t>
      </w:r>
      <w:r>
        <w:t xml:space="preserve"> über die gesamte Altersspanne 2–15 und über Dialekte/Mehrsprachigkeit hinweg erreicht werden kann. Bei zu hoher Fehlerrate scheitert das Kern-Nutzungsversprechen (frustfreier Dialog).</w:t>
      </w:r>
    </w:p>
    <w:p>
      <w:pPr>
        <w:pStyle w:val="TextStart"/>
      </w:pPr>
      <w:r>
        <w:rPr>
          <w:b/>
        </w:rPr>
        <w:t xml:space="preserve">Methodischer Lösungsansatz (Stand der Technik)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Aufbau/Beschaffung eines kuratierten, datenschutzkonformen </w:t>
      </w:r>
      <w:r>
        <w:rPr>
          <w:b/>
        </w:rPr>
        <w:t xml:space="preserve">Kinder-Sprachkorpus</w:t>
      </w:r>
      <w:r>
        <w:t xml:space="preserve"> (mehrsprachig, altersgestaffelt), inkl. externer Speech-Datendienstleistung und kontrollierter Eigenerhebung mit Einwilligung.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Daten-Augmentation</w:t>
      </w:r>
      <w:r>
        <w:t xml:space="preserve"> (Pitch-/Tempo-/Vokaltrakt-Perturbation, Geräusch-/Hall-Simulation für Fernfeld) zur Kompensation knapper Daten.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Finetuning</w:t>
      </w:r>
      <w:r>
        <w:t xml:space="preserve"> quelloffener ASR-Basismodelle auf Kindersprache; Evaluierung mit klaren Metriken (</w:t>
      </w:r>
      <w:r>
        <w:rPr>
          <w:b/>
        </w:rPr>
        <w:t xml:space="preserve">WER/CER</w:t>
      </w:r>
      <w:r>
        <w:t xml:space="preserve">, getrennt nach Altersband, Sprache, Code-Switching-Anteil).</w:t>
      </w:r>
    </w:p>
    <w:p>
      <w:pPr>
        <w:pStyle w:val="ListParagraph"/>
        <w:numPr>
          <w:ilvl w:val="0"/>
          <w:numId w:val="2"/>
        </w:numPr>
      </w:pPr>
      <w:r>
        <w:t>Go/No-Go-Kriterium ist der in Abschnitt 1.1 definierte Zielwert (relative WER-Reduktion ≥ 30 % gegenüber einer generischen Open-Source-Baseline auf einem kindgerecht-mehrsprachigen Evaluationsset); er wird zu Projektbeginn auf konkrete Sprach-/Altersbänder heruntergebrochen.</w:t>
      </w:r>
    </w:p>
    <w:p>
      <w:pPr>
        <w:pStyle w:val="TextStart"/>
      </w:pPr>
      <w:r>
        <w:rPr>
          <w:b/>
        </w:rPr>
        <w:t xml:space="preserve">Rückfallebenen</w:t>
      </w:r>
      <w:r>
        <w:t xml:space="preserve">: bei nicht erreichbarem Zielwert Einsatz von Dialog-Strategien (Rückfragen, eingeschränkter Vokabularraum je Altersstufe, geführte statt freier Dialoge), die die ASR-Last reduzieren.</w:t>
      </w:r>
    </w:p>
    <w:p>
      <w:pPr>
        <w:pStyle w:val="TextStart"/>
      </w:pPr>
      <w:r>
        <w:rPr>
          <w:b/>
        </w:rPr>
        <w:t xml:space="preserve">Risikofeld 2 – Echtzeit-Code-Switching auf ressourcenbeschränkter Hardware</w:t>
      </w:r>
    </w:p>
    <w:p>
      <w:pPr>
        <w:pStyle w:val="TextStart"/>
      </w:pPr>
      <w:r>
        <w:rPr>
          <w:b/>
        </w:rPr>
        <w:t xml:space="preserve">Technisches Problem</w:t>
      </w:r>
      <w:r>
        <w:t xml:space="preserve">: Mehrsprachige Kinder wechseln innerhalb eines Satzes zwischen Sprachen (Code-Switching). Sprach-Identifikation und korrekte Erkennung in Echtzeit sind anspruchsvoll, zumal Teile der Verarbeitung latenzkritisch und ressourcenbeschränkt sind (Gerät/Edge bzw. enge Latenzbudgets zur EU-Inferenz).</w:t>
      </w:r>
    </w:p>
    <w:p>
      <w:pPr>
        <w:pStyle w:val="TextStart"/>
      </w:pPr>
      <w:r>
        <w:rPr>
          <w:b/>
        </w:rPr>
        <w:t xml:space="preserve">Offene Forschungsfrage / Risiko</w:t>
      </w:r>
      <w:r>
        <w:t xml:space="preserve">: Offen ist, ob Sprachwechsel </w:t>
      </w:r>
      <w:r>
        <w:rPr>
          <w:b/>
        </w:rPr>
        <w:t xml:space="preserve">robust und mit dialogtauglicher Latenz</w:t>
      </w:r>
      <w:r>
        <w:t xml:space="preserve"> erkannt werden können, ohne die Erkennungsqualität zu beeinträchtigen. Risiko: hohe Latenz oder Fehlklassifikation der Sprache bricht den natürlichen Dialogfluss.</w:t>
      </w:r>
    </w:p>
    <w:p>
      <w:pPr>
        <w:pStyle w:val="TextStart"/>
      </w:pPr>
      <w:r>
        <w:rPr>
          <w:b/>
        </w:rPr>
        <w:t xml:space="preserve">Methodischer Lösungsansatz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Einsatz/Feinabstimmung mehrsprachiger ASR-Modelle mit integrierter oder vorgeschalteter </w:t>
      </w:r>
      <w:r>
        <w:rPr>
          <w:b/>
        </w:rPr>
        <w:t xml:space="preserve">Sprach-Identifikation</w:t>
      </w:r>
      <w:r>
        <w:t xml:space="preserve">; Evaluierung der Code-Switching-Erkennung auf eigens annotierten Mischsprach-Samples.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Latenz-Engineering</w:t>
      </w:r>
      <w:r>
        <w:t xml:space="preserve">: Streaming-ASR, Modell-Quantisierung, Aufteilung Edge/EU-Server (welche Schritte lokal, welche serverseitig), Messung End-to-End-Antwortlatenz als harte Metrik.</w:t>
      </w:r>
    </w:p>
    <w:p>
      <w:pPr>
        <w:pStyle w:val="ListParagraph"/>
        <w:numPr>
          <w:ilvl w:val="0"/>
          <w:numId w:val="2"/>
        </w:numPr>
      </w:pPr>
      <w:r>
        <w:t xml:space="preserve">Architektur-Experimente zur optimalen Verteilung der Rechenlast zwischen Gerät und EU-Inferenz.</w:t>
      </w:r>
    </w:p>
    <w:p>
      <w:pPr>
        <w:pStyle w:val="TextStart"/>
      </w:pPr>
      <w:r>
        <w:rPr>
          <w:b/>
        </w:rPr>
        <w:t xml:space="preserve">Risikofeld 3 – Qualität der privaten EU-Inferenz vs. Public-Cloud-LLM</w:t>
      </w:r>
    </w:p>
    <w:p>
      <w:pPr>
        <w:pStyle w:val="TextStart"/>
      </w:pPr>
      <w:r>
        <w:rPr>
          <w:b/>
        </w:rPr>
        <w:t xml:space="preserve">Technisches Problem</w:t>
      </w:r>
      <w:r>
        <w:t xml:space="preserve">: Das datenschutzgetriebene Kernversprechen verlangt </w:t>
      </w:r>
      <w:r>
        <w:rPr>
          <w:b/>
        </w:rPr>
        <w:t xml:space="preserve">private Inferenz auf quelloffenen Modellen auf gemieteter EU-Infrastruktur</w:t>
      </w:r>
      <w:r>
        <w:t xml:space="preserve"> statt Public-Cloud-LLM-APIs. Quelloffene Modelle sind kleiner/anders trainiert als die größten proprietären Modelle.</w:t>
      </w:r>
    </w:p>
    <w:p>
      <w:pPr>
        <w:pStyle w:val="TextStart"/>
      </w:pPr>
      <w:r>
        <w:rPr>
          <w:b/>
        </w:rPr>
        <w:t xml:space="preserve">Offene Forschungsfrage / Risiko</w:t>
      </w:r>
      <w:r>
        <w:t xml:space="preserve">: Offen ist, ob die </w:t>
      </w:r>
      <w:r>
        <w:rPr>
          <w:b/>
        </w:rPr>
        <w:t xml:space="preserve">Dialog-, Geschichten- und pädagogische Qualität</w:t>
      </w:r>
      <w:r>
        <w:t xml:space="preserve"> quelloffener, privat gehosteter Modelle bei </w:t>
      </w:r>
      <w:r>
        <w:rPr>
          <w:b/>
        </w:rPr>
        <w:t xml:space="preserve">akzeptabler Latenz und vertretbaren Compute-Kosten</w:t>
      </w:r>
      <w:r>
        <w:t xml:space="preserve"> ein kindgerechtes, sicheres Erlebnis liefert. Risiko: Qualitäts-/Latenz-/Kostenlücke gefährdet entweder das Erlebnis oder die Wirtschaftlichkeit.</w:t>
      </w:r>
    </w:p>
    <w:p>
      <w:pPr>
        <w:pStyle w:val="TextStart"/>
      </w:pPr>
      <w:r>
        <w:rPr>
          <w:b/>
        </w:rPr>
        <w:t xml:space="preserve">Methodischer Lösungsansatz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Systematisches </w:t>
      </w:r>
      <w:r>
        <w:rPr>
          <w:b/>
        </w:rPr>
        <w:t xml:space="preserve">Benchmarking</w:t>
      </w:r>
      <w:r>
        <w:t xml:space="preserve"> mehrerer quelloffener Modelle (Dialogqualität, Sicherheit/Kindgerechtheit, Halluzinationsrate, Latenz, Kosten/Anfrage).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Domänen-Finetuning</w:t>
      </w:r>
      <w:r>
        <w:t xml:space="preserve"> (kindgerechte, mehrsprachige, pädagogische Dialoge) und Guardrails/Safety-Layer für kindersichere Ausgaben.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Inferenz-Optimierung</w:t>
      </w:r>
      <w:r>
        <w:t xml:space="preserve"> (Quantisierung, Caching, Batching) und Dimensionierung der GPU-Infrastruktur; Kostenmodellierung je Dialogminute.</w:t>
      </w:r>
    </w:p>
    <w:p>
      <w:pPr>
        <w:pStyle w:val="ListParagraph"/>
        <w:numPr>
          <w:ilvl w:val="0"/>
          <w:numId w:val="2"/>
        </w:numPr>
      </w:pPr>
      <w:r>
        <w:t xml:space="preserve">Definition messbarer Qualitäts- und Latenz-Akzeptanzschwellen als Meilenstein-Kriterien.</w:t>
      </w:r>
    </w:p>
    <w:p>
      <w:pPr>
        <w:pStyle w:val="TextStart"/>
      </w:pPr>
      <w:r>
        <w:rPr>
          <w:b/>
        </w:rPr>
        <w:t>Compute-Planung (Richtwert, vom Antragsteller zu bestätigen): Für ASR/TTS-Training und private Inferenz werden rund 90.000 EUR im ersten und rund 70.000 EUR im zweiten Forschungsjahr GPU-Compute veranschlagt. Beleg-Basis: gemietete EU-GPU-Kapazität (Seeweb: H100 ca. 1,89 EUR/h, A100 ca. 0,99 EUR/h). Als gewichteter Misch-/Multi-GPU-Satz von ca. 4 EUR/h ergeben sich rund 22.500 GPU-Stunden im ersten Forschungsjahr (konservativ-realistisch; entspricht ~1 H100 quasi-dauerhaft zzgl. Trainings-Bursts). Quelle: seeweb.it/en/products/cloud-server-gpu.</w:t>
      </w:r>
      <w:r/>
      <w:r>
        <w:rPr>
          <w:b/>
        </w:rPr>
      </w:r>
      <w:r/>
      <w:r>
        <w:rPr>
          <w:b/>
        </w:rPr>
      </w:r>
      <w:r/>
      <w:r>
        <w:rPr>
          <w:b/>
        </w:rPr>
      </w:r>
      <w:r/>
    </w:p>
    <w:p>
      <w:pPr>
        <w:pStyle w:val="TextStart"/>
      </w:pPr>
      <w:r>
        <w:rPr>
          <w:b/>
        </w:rPr>
        <w:t xml:space="preserve">Risikofeld 4 – Pädagogische Wirksamkeit der adaptiven Engine</w:t>
      </w:r>
    </w:p>
    <w:p>
      <w:pPr>
        <w:pStyle w:val="TextStart"/>
      </w:pPr>
      <w:r>
        <w:rPr>
          <w:b/>
        </w:rPr>
        <w:t xml:space="preserve">Technisches Problem</w:t>
      </w:r>
      <w:r>
        <w:t xml:space="preserve">: Die Pädagogik-Engine kombiniert Spaced Repetition, Kognaten-Nutzung, Personalisierung und altersgerechte Progression. Ob diese Kombination im realen, dialogischen Einsatz einen </w:t>
      </w:r>
      <w:r>
        <w:rPr>
          <w:b/>
        </w:rPr>
        <w:t xml:space="preserve">messbaren Lernvorteil</w:t>
      </w:r>
      <w:r>
        <w:t xml:space="preserve"> erzielt, ist eine offene empirische Frage.</w:t>
      </w:r>
    </w:p>
    <w:p>
      <w:pPr>
        <w:pStyle w:val="TextStart"/>
      </w:pPr>
      <w:r>
        <w:rPr>
          <w:b/>
        </w:rPr>
        <w:t xml:space="preserve">Offene Forschungsfrage / Risiko</w:t>
      </w:r>
      <w:r>
        <w:t xml:space="preserve">: Offen ist, ob und in welchem Ausmaß die adaptive Engine gegenüber nicht-adaptivem/passivem Material die aktive Sprachproduktion und Retention verbessert. Risiko: ausbleibender messbarer Lerneffekt entwertet das pädagogische Versprechen.</w:t>
      </w:r>
    </w:p>
    <w:p>
      <w:pPr>
        <w:pStyle w:val="TextStart"/>
      </w:pPr>
      <w:r>
        <w:rPr>
          <w:b/>
        </w:rPr>
        <w:t xml:space="preserve">Methodischer Lösungsansatz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t xml:space="preserve">Operationalisierung der Forschungsbefunde (Hoff 2012; Romeo 2018; Roediger &amp; Karpicke 2006; Mitchell 2024) in konkrete, messbare Engine-Mechaniken.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A/B-Lernwirksamkeitstests</w:t>
      </w:r>
      <w:r>
        <w:t xml:space="preserve"> mit Kindern (adaptiv vs. Baseline) unter Einwilligung; Messung von Wortschatz-Retention, aktiver Produktion, „conversational turns" und Engagement.</w:t>
      </w:r>
    </w:p>
    <w:p>
      <w:pPr>
        <w:pStyle w:val="ListParagraph"/>
        <w:numPr>
          <w:ilvl w:val="0"/>
          <w:numId w:val="2"/>
        </w:numPr>
      </w:pPr>
      <w:r>
        <w:t xml:space="preserve">Iterative Prototypen-Entwicklung mit Nutzer-Feedback (Kinder, Eltern). Zur wissenschaftlichen Absicherung der Methodik ist eine Forschungskooperation mit dem Fraunhofer-Institut (Bereich KI4LIFE) vorgesehen; entsprechende Gespräche werden derzeit geführt, eine Entscheidung wird in den kommenden Wochen erwartet. Bei Zustandekommen würde Fraunhofer als gleichberechtigter Forschungspartner ein eigenes Arbeitspaket übernehmen (u. a. Methodik der Kinder-ASR sowie Evaluierung der pädagogischen Lernwirksamkeit).</w:t>
      </w:r>
    </w:p>
    <w:p>
      <w:pPr>
        <w:pStyle w:val="TextStart"/>
      </w:pPr>
      <w:r>
        <w:rPr>
          <w:b/>
        </w:rPr>
        <w:t xml:space="preserve">Risikofeld 5 – Sichere, kontrollierbare KI-Outputs (Safety / Guardrails)</w:t>
      </w:r>
    </w:p>
    <w:p>
      <w:pPr>
        <w:pStyle w:val="TextStart"/>
      </w:pPr>
      <w:r>
        <w:rPr>
          <w:b/>
        </w:rPr>
        <w:t xml:space="preserve">Technisches Problem: Generative Sprachmodelle erzeugen probabilistische Outputs. Ohne zusätzliche Schutzschichten sind altersgerechte Garantien (keine Schimpfwörter, keine sexualisierten oder gewaltverherrlichenden Inhalte, keine Selbstgefährdungs-Empfehlungen, keine Abfragen persönlicher Daten, kindgerechter Umgang mit sensiblen Themen) nicht zuverlässig einhaltbar. Jailbreak-Angriffe auf LLMs sind dokumentiert.</w:t>
      </w:r>
    </w:p>
    <w:p>
      <w:pPr>
        <w:pStyle w:val="TextStart"/>
      </w:pPr>
      <w:r>
        <w:rPr>
          <w:b/>
        </w:rPr>
        <w:t xml:space="preserve">Offene Forschungsfrage / Risiko: Offen ist, wie ein generatives Sprachmodell auf einer privaten Inferenz-Architektur deterministische, altersdifferenzierte Output-Garantien erreichen kann — unter Echtzeit-Dialog-Latenz und robust gegen Modell-Jailbreaks. Risiko: hoch; dies ist das Hauptablehnungs- und Reputationsrisiko bei Kinder-KI, da reine LLM-Outputs nicht vorhersagbar sind.</w:t>
      </w:r>
    </w:p>
    <w:p>
      <w:pPr>
        <w:pStyle w:val="TextStart"/>
      </w:pPr>
      <w:r>
        <w:rPr>
          <w:b/>
        </w:rPr>
        <w:t xml:space="preserve">Methodischer Lösungsansatz — mehrschichtiges Guardrail-System:</w:t>
      </w:r>
    </w:p>
    <w:p>
      <w:pPr>
        <w:pStyle w:val="ListParagraph"/>
        <w:numPr>
          <w:ilvl w:val="0"/>
          <w:numId w:val="2"/>
        </w:numPr>
      </w:pPr>
      <w:r>
        <w:t xml:space="preserve">Prompt-Hardening: mehrschichtige System-Prompt-Architektur, Persona-Constraints, Kontext-Isolation gegen Prompt-Injection.</w:t>
      </w:r>
    </w:p>
    <w:p>
      <w:pPr>
        <w:pStyle w:val="ListParagraph"/>
        <w:numPr>
          <w:ilvl w:val="0"/>
          <w:numId w:val="2"/>
        </w:numPr>
      </w:pPr>
      <w:r>
        <w:t xml:space="preserve">Constrained Decoding / Topic-Allowlists je Altersstufe: strukturelle Begrenzung des Output-Raums auf altersgerechte Themen und Vokabulare.</w:t>
      </w:r>
    </w:p>
    <w:p>
      <w:pPr>
        <w:pStyle w:val="ListParagraph"/>
        <w:numPr>
          <w:ilvl w:val="0"/>
          <w:numId w:val="2"/>
        </w:numPr>
      </w:pPr>
      <w:r>
        <w:t xml:space="preserve">Output-Klassifizierer: Schimpfwort-Filter, PII-Filter und kindgerechter Themen-Klassifizierer, trainiert auf einem kuratierten kindgerechten Korpus.</w:t>
      </w:r>
    </w:p>
    <w:p>
      <w:pPr>
        <w:pStyle w:val="ListParagraph"/>
        <w:numPr>
          <w:ilvl w:val="0"/>
          <w:numId w:val="2"/>
        </w:numPr>
      </w:pPr>
      <w:r>
        <w:t xml:space="preserve">Deterministische Antwort-Templates für sensible Themen (z. B. Tod, Trauer, körperliche Themen, Notfälle) mit definierten, behutsamen Antworten und Verweis auf Bezugspersonen.</w:t>
      </w:r>
    </w:p>
    <w:p>
      <w:pPr>
        <w:pStyle w:val="ListParagraph"/>
        <w:numPr>
          <w:ilvl w:val="0"/>
          <w:numId w:val="2"/>
        </w:numPr>
      </w:pPr>
      <w:r>
        <w:t xml:space="preserve">Red-Teaming-Programm mit Kinderschutz- und Pädagogik-Expert:innen (z. B. Saferinternet.at, pädagogische Hochschulen) zur adversariellen Prüfung des Modellverhaltens.</w:t>
      </w:r>
    </w:p>
    <w:p>
      <w:pPr>
        <w:pStyle w:val="ListParagraph"/>
        <w:numPr>
          <w:ilvl w:val="0"/>
          <w:numId w:val="2"/>
        </w:numPr>
      </w:pPr>
      <w:r>
        <w:t xml:space="preserve">Datenschutzkonformer Eltern-Mode: Auffälligkeits-Flags an Bezugspersonen ohne Übertragung kindlicher Sprachaufzeichnungen.</w:t>
      </w:r>
    </w:p>
    <w:p>
      <w:pPr>
        <w:pStyle w:val="ListParagraph"/>
        <w:numPr>
          <w:ilvl w:val="0"/>
          <w:numId w:val="2"/>
        </w:numPr>
      </w:pPr>
      <w:r>
        <w:t xml:space="preserve">Kontinuierliche Evaluierung gegen Adversarial-Testsets und altersgestaffelte Safety-Benchmarks als harte Meilenstein-Kriterien.</w:t>
      </w:r>
    </w:p>
    <w:p>
      <w:pPr>
        <w:pStyle w:val="TextStart"/>
      </w:pPr>
      <w:r>
        <w:rPr>
          <w:b/>
        </w:rPr>
        <w:t xml:space="preserve">Methodische Gesamtvorgehensweise</w:t>
      </w:r>
    </w:p>
    <w:p>
      <w:pPr>
        <w:pStyle w:val="TextStart"/>
      </w:pPr>
      <w:r>
        <w:t xml:space="preserve">Übergreifend wird </w:t>
      </w:r>
      <w:r>
        <w:rPr>
          <w:b/>
        </w:rPr>
        <w:t xml:space="preserve">iterativ-experimentell</w:t>
      </w:r>
      <w:r>
        <w:t xml:space="preserve"> vorgegangen: (1) Datenerhebung/-annotation, (2) Modell-Finetuning, (3) quantitative Evaluierung gegen definierte Metriken (WER/CER, Latenz, Qualitäts-Scores, Lernwirksamkeit), (4) iterative Prototypen mit klaren Go/No-Go-Meilensteinen. Jeder Iterationszyklus reduziert das Risiko schrittweise; negative Zwischenergebnisse führen zu dokumentierten Strategiewechseln (Rückfallebenen), nicht zum Abbruch des Lernprozesses. Der Projekterfolg ist – wie bei experimenteller Entwicklung – nicht garantiert.</w:t>
      </w:r>
      <w:r>
        <w:t xml:space="preserve"> Die wissenschaftliche Methodik – insbesondere die Kinder-ASR/TTS-Evaluierung und die Messung der pädagogischen Wirksamkeit – soll, vorbehaltlich der laufenden Abstimmung, durch die geplante Forschungskooperation mit dem Fraunhofer-Institut (KI4LIFE) zusätzlich abgesichert werden.</w:t>
      </w:r>
    </w:p>
    <w:p>
      <w:r>
        <w:t/>
      </w:r>
      <w:permEnd w:id="71545670"/>
    </w:p>
    <w:p>
      <w:pPr>
        <w:pStyle w:val="Heading1"/>
      </w:pPr>
      <w:r>
        <w:t>2. Finanzierung und Folgekosten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1"/>
    </w:p>
    <w:p>
      <w:pPr>
        <w:pStyle w:val="TextStart"/>
      </w:pPr>
      <w:r>
        <w:rPr>
          <w:b/>
        </w:rPr>
        <w:t xml:space="preserve">Finanzierung des Eigenanteils</w:t>
      </w:r>
      <w:r>
        <w:t>: Das Vorhaben ist ein mehrjähriges 24-Monats-Projekt (zwei Forschungsjahre); ab Forschungsjahr 2 kommt eine dritte F&amp;E-Projektkraft hinzu. Die förderbaren Gesamtkosten betragen rund 1.488.000 EUR (Forschungsjahr 1: 744.284 EUR; Forschungsjahr 2: rund 744.000 EUR). Die FFG-Förderung beträgt bei der Beihilfenhöchstintensität von 45 % rund 670.000 EUR und wird im Finanzierungsmix als nicht rückzahlbarer Zuschuss zuzüglich zinsbegünstigtem Darlehen (Cash-Mix bis zu 70 %) ausgezahlt. Der verbleibende Eigenanteil wird über mehrere Quellen gedeckt: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Unbare Eigenleistung des Gründers</w:t>
      </w:r>
      <w:r>
        <w:t xml:space="preserve"> (geplante F&amp;E-Projektstunden zum FFG-Pauschalsatz, nicht ausbezahlt, sondern als Eigenfinanzierung eingebracht, 2 Forschungsjahre): ~150.000 EUR.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Eigenmittel/Stammkapital</w:t>
      </w:r>
      <w:r>
        <w:t xml:space="preserve"> der Plappi FlexCo (i.G.): ~90.000 EUR.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>BReact-Patronatserklärung (Liquiditäts-/Finanzierungszusage): ~200.000 EUR pro Forschungsjahr (2 Forschungsjahre = ~400.000 EUR gesamt; Entwurf liegt vor, im Rahmen der zugesagten Kapazität).</w:t>
      </w:r>
      <w:r/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Kickstarter-Erlöse</w:t>
      </w:r>
      <w:r>
        <w:t xml:space="preserve"> (Launch 24.06.2026, 60-Tage-Kampagne, Kampagnenziel 115.000 EUR; reine Marktvalidierung/Vorfinanzierung, nicht Projektgegenstand; konservativ angesetzter Finanzierungsbeitrag): ~80.000 EUR.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Nachrangiges Gesellschafterdarlehen / weitere Eigenmittel</w:t>
      </w:r>
      <w:r>
        <w:t xml:space="preserve">: ~98.000 EUR.</w:t>
      </w:r>
    </w:p>
    <w:p>
      <w:pPr>
        <w:pStyle w:val="TextStart"/>
      </w:pPr>
      <w:r>
        <w:t>Damit ist die Gesamtfinanzierung (rund 1.488.000 EUR) sichergestellt. Da ein wesentlicher Teil über unbare Eigenleistung und das zinsbegünstigte FFG-Darlehen getragen wird, liegt der reale Eigenkapitalbedarf deutlich unter dem Bruttoeigenanteil. Nachweise (Patronatserklärung, Eigenmittelnachweis) liegen bei. Beträge sind Planwerte, vor Einreichung zu bestätigen.</w:t>
      </w:r>
    </w:p>
    <w:p>
      <w:pPr>
        <w:pStyle w:val="TextStart"/>
      </w:pPr>
      <w:r>
        <w:rPr>
          <w:b/>
        </w:rPr>
        <w:t xml:space="preserve">Folgekosten nach Projektende</w:t>
      </w:r>
      <w:r>
        <w:t xml:space="preserve"> (Markteinführung – NICHT Projektgegenstand): Werkzeug-/Produktionsaufbau, Erstcharge, Vertrieb/After-Sales. Finanzierung über Folgeförderungen (aws Seed, Wirtschaftsagentur Wien), Kickstarter-Vorbestellungen und ggf. Investoren. Das Geschäftsmodell (Gerät + Abo) trägt die laufenden Kosten mittelfristig selbst; die Folgekosten übersteigen die Leistungsfähigkeit nicht, da Markteintritt schrittweise und förderbegleitet erfolgt.</w:t>
      </w:r>
    </w:p>
    <w:p>
      <w:r>
        <w:t/>
      </w:r>
      <w:permEnd w:id="71545671"/>
    </w:p>
    <w:p>
      <w:pPr>
        <w:pStyle w:val="Heading1"/>
      </w:pPr>
      <w:r>
        <w:t>3. Ökonomisches Potenzial und Verwertung</w:t>
      </w:r>
    </w:p>
    <w:p>
      <w:pPr>
        <w:pStyle w:val="Heading2"/>
      </w:pPr>
      <w:r>
        <w:t>3.1. Marktbeschreibung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3"/>
    </w:p>
    <w:p>
      <w:pPr>
        <w:pStyle w:val="TextStart"/>
      </w:pPr>
      <w:r>
        <w:rPr>
          <w:b/>
        </w:rPr>
        <w:t xml:space="preserve">Marktdefinition</w:t>
      </w:r>
    </w:p>
    <w:p>
      <w:pPr>
        <w:pStyle w:val="TextStart"/>
      </w:pPr>
      <w:r>
        <w:t xml:space="preserve">Plappi adressiert den Schnittbereich aus </w:t>
      </w:r>
      <w:r>
        <w:rPr>
          <w:b/>
        </w:rPr>
        <w:t xml:space="preserve">EdTech-Sprachlernen</w:t>
      </w:r>
      <w:r>
        <w:t xml:space="preserve"> (frühkindlich/schulisch), </w:t>
      </w:r>
      <w:r>
        <w:rPr>
          <w:b/>
        </w:rPr>
        <w:t xml:space="preserve">bildschirmfreiem Audio-Kinderprodukt</w:t>
      </w:r>
      <w:r>
        <w:t xml:space="preserve"> und </w:t>
      </w:r>
      <w:r>
        <w:rPr>
          <w:b/>
        </w:rPr>
        <w:t xml:space="preserve">datensouveräner Consumer-KI-Hardware</w:t>
      </w:r>
      <w:r>
        <w:t xml:space="preserve">. Geschäftsmodell: B2C-Hardware (Gerät) plus wiederkehrendes Abo (Content/Inferenz).</w:t>
      </w:r>
    </w:p>
    <w:p>
      <w:pPr>
        <w:pStyle w:val="TextStart"/>
      </w:pPr>
      <w:r>
        <w:rPr>
          <w:b/>
        </w:rPr>
        <w:t xml:space="preserve">Marktgröße und Entwicklung (faktenbasiert)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Zielgruppe EU</w:t>
      </w:r>
      <w:r>
        <w:t xml:space="preserve">: rund </w:t>
      </w:r>
      <w:r>
        <w:rPr>
          <w:b/>
        </w:rPr>
        <w:t xml:space="preserve">65,6 Mio. Kinder (0–14 J.)</w:t>
      </w:r>
      <w:r>
        <w:t xml:space="preserve"> (Eurostat, 2024); </w:t>
      </w:r>
      <w:r>
        <w:rPr>
          <w:b/>
        </w:rPr>
        <w:t xml:space="preserve">89,4 %</w:t>
      </w:r>
      <w:r>
        <w:t xml:space="preserve"> der Oberstufenschüler lernen Englisch als Fremdsprache – breite, wachsende Nachfrage nach Sprachförderung.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EdTech-Sprachlernmarkt</w:t>
      </w:r>
      <w:r>
        <w:t xml:space="preserve">: ca. </w:t>
      </w:r>
      <w:r>
        <w:rPr>
          <w:b/>
        </w:rPr>
        <w:t xml:space="preserve">USD 11,7 Mrd. (2024)</w:t>
      </w:r>
      <w:r>
        <w:t xml:space="preserve"> mit einer prognostizierten </w:t>
      </w:r>
      <w:r>
        <w:rPr>
          <w:b/>
        </w:rPr>
        <w:t xml:space="preserve">CAGR von ~27 %</w:t>
      </w:r>
      <w:r>
        <w:t xml:space="preserve"> (market.us) – starkes Wachstum.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Marktvalidierung bildschirmfreies Audio</w:t>
      </w:r>
      <w:r>
        <w:t xml:space="preserve">: tonies SE erzielte </w:t>
      </w:r>
      <w:r>
        <w:rPr>
          <w:b/>
        </w:rPr>
        <w:t xml:space="preserve">FY2024 ~480 Mio. EUR Umsatz</w:t>
      </w:r>
      <w:r>
        <w:t xml:space="preserve">, </w:t>
      </w:r>
      <w:r>
        <w:rPr>
          <w:b/>
        </w:rPr>
        <w:t xml:space="preserve">&gt; 8 Mio. Tonieboxen</w:t>
      </w:r>
      <w:r>
        <w:t xml:space="preserve"> und </w:t>
      </w:r>
      <w:r>
        <w:rPr>
          <w:b/>
        </w:rPr>
        <w:t xml:space="preserve">&gt; 100 Mio. Figuren</w:t>
      </w:r>
      <w:r>
        <w:t xml:space="preserve"> – Beleg für die Zahlungsbereitschaft und Skalierbarkeit des bildschirmfreien Kinder-Audio-Markts (allerdings einsprachig/passiv).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Wachstumstrend bildschirmfreier, vernetzter Kinder-Spielprodukte: die Adoption vernetzter Audio-Hardware im Kinderzimmer entwickelt sich international rasant; der Connected-Toys-Markt wächst laut market.us 2024 mit einer CAGR von rund 19–25 %. Plappi adressiert genau diesen Wachstumskorridor und kombiniert ihn mit der bislang fehlenden Sprachlern-Tiefe.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Zweiter, ergänzender Indikator-TAM — Bildungseinrichtungen (EU): rund 25 Mio. Primarschüler:innen in der EU; rund 84 % der Primarstufe erhalten Fremdsprachenunterricht (Eurostat 2017/2022) — Richtwert zur Größenordnung der B2B-Verwertungsschiene (Schulen, KiTa-Trägerorganisationen, Sprachförder-Programme), ausdrücklich nicht als adressierbarer Hard-TAM, sondern als indikative Schul-/Bildungsnachfrage.</w:t>
      </w:r>
    </w:p>
    <w:p>
      <w:pPr>
        <w:pStyle w:val="TextStart"/>
      </w:pPr>
      <w:r>
        <w:rPr>
          <w:b/>
        </w:rPr>
        <w:t xml:space="preserve">Geografische Markteinschätzung</w:t>
      </w:r>
    </w:p>
    <w:p>
      <w:pPr>
        <w:pStyle w:val="TextStart"/>
      </w:pPr>
      <w:r>
        <w:rPr>
          <w:b/>
        </w:rPr>
        <w:t xml:space="preserve">Österreich/DACH</w:t>
      </w:r>
      <w:r>
        <w:t xml:space="preserve"> als Erstmarkt (mehrsprachiges Umfeld, hohe Kaufkraft), dann </w:t>
      </w:r>
      <w:r>
        <w:rPr>
          <w:b/>
        </w:rPr>
        <w:t xml:space="preserve">EU-weit</w:t>
      </w:r>
      <w:r>
        <w:t xml:space="preserve">, anschließend </w:t>
      </w:r>
      <w:r>
        <w:rPr>
          <w:b/>
        </w:rPr>
        <w:t xml:space="preserve">USA</w:t>
      </w:r>
      <w:r>
        <w:t xml:space="preserve"> (Vorbild: internationale Tonies-Skalierung). Der Trend zu Datenschutz und Reduktion von Screen-Time stützt die mittelfristige Nachfrage zusätzlich.</w:t>
      </w:r>
    </w:p>
    <w:p>
      <w:pPr>
        <w:pStyle w:val="TextStart"/>
      </w:pPr>
      <w:r>
        <w:rPr>
          <w:b/>
        </w:rPr>
        <w:t xml:space="preserve">Faktenbasis</w:t>
      </w:r>
    </w:p>
    <w:p>
      <w:pPr>
        <w:pStyle w:val="TextStart"/>
      </w:pPr>
      <w:r>
        <w:t xml:space="preserve">Eurostat (2024); market.us EdTech/Language-Learning-Report (2024); tonies SE Geschäftsbericht FY2024. Quellen werden im Quellenverzeichnis geführt; Marktschätzungen sind Richtwerte und vom Antragsteller vor Einreichung zu bestätigen.</w:t>
      </w:r>
    </w:p>
    <w:p>
      <w:pPr>
        <w:pStyle w:val="TextStart"/>
      </w:pPr>
      <w:r>
        <w:rPr>
          <w:b/>
        </w:rPr>
        <w:t xml:space="preserve">Bestehende Umsätze</w:t>
      </w:r>
    </w:p>
    <w:p>
      <w:pPr>
        <w:pStyle w:val="TextStart"/>
      </w:pPr>
      <w:r>
        <w:t xml:space="preserve">Mit Plappi werden derzeit </w:t>
      </w:r>
      <w:r>
        <w:rPr>
          <w:b/>
        </w:rPr>
        <w:t xml:space="preserve">keine Umsätze</w:t>
      </w:r>
      <w:r>
        <w:t xml:space="preserve"> erzielt (Produkt in experimenteller Entwicklung). Erste Nachfragevalidierung erfolgt über den Kickstarter-Launch 24.06.2026 (60-Tage-Kampagne).</w:t>
      </w:r>
    </w:p>
    <w:p>
      <w:r>
        <w:t/>
      </w:r>
      <w:permEnd w:id="71545673"/>
    </w:p>
    <w:p>
      <w:pPr>
        <w:pStyle w:val="Heading2"/>
      </w:pPr>
      <w:r>
        <w:t>3.2. Wettbewerbssituation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4"/>
    </w:p>
    <w:p>
      <w:pPr>
        <w:pStyle w:val="TextStart"/>
      </w:pPr>
      <w:r>
        <w:rPr>
          <w:b/>
        </w:rPr>
        <w:t xml:space="preserve">Mitbewerb (nach Marktrelevanz)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Audio-Lernspielzeug (tonies, Ravensburger tiptoi)</w:t>
      </w:r>
      <w:r>
        <w:t xml:space="preserve"> – hoher Marktanteil/Markenbekanntheit, aber </w:t>
      </w:r>
      <w:r>
        <w:rPr>
          <w:b/>
        </w:rPr>
        <w:t xml:space="preserve">einsprachig, passiv, ohne Dialog/Adaptivität</w:t>
      </w:r>
      <w:r>
        <w:t xml:space="preserve">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Sprachlern-Apps (Duolingo, Lingokids, Gus on the Go)</w:t>
      </w:r>
      <w:r>
        <w:t xml:space="preserve"> – interaktiv/adaptiv, aber </w:t>
      </w:r>
      <w:r>
        <w:rPr>
          <w:b/>
        </w:rPr>
        <w:t xml:space="preserve">bildschirmgebunden</w:t>
      </w:r>
      <w:r>
        <w:t xml:space="preserve"> und überwiegend </w:t>
      </w:r>
      <w:r>
        <w:rPr>
          <w:b/>
        </w:rPr>
        <w:t xml:space="preserve">Cloud-LLM mit Daten-Sharing</w:t>
      </w:r>
      <w:r>
        <w:t xml:space="preserve">; für Kleinkinder ungeeignet.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Smart Speaker / Sprachassistenten (Alexa, Google)</w:t>
      </w:r>
      <w:r>
        <w:t xml:space="preserve"> – freie Sprache, aber </w:t>
      </w:r>
      <w:r>
        <w:rPr>
          <w:b/>
        </w:rPr>
        <w:t xml:space="preserve">nicht kindzentriert, nicht pädagogisch, cloud-/datengetrieben</w:t>
      </w:r>
      <w:r>
        <w:t xml:space="preserve">.</w:t>
      </w:r>
    </w:p>
    <w:p>
      <w:pPr>
        <w:pStyle w:val="TextStart"/>
      </w:pPr>
      <w:r>
        <w:rPr>
          <w:b/>
        </w:rPr>
        <w:t xml:space="preserve">SWOT (Plappi)</w:t>
      </w:r>
    </w:p>
    <w:tbl>
      <w:tblPr>
        <w:tblW w:w="9000" w:type="dxa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4500"/>
        <w:gridCol w:w="4500"/>
      </w:tblGrid>
      <w:tr>
        <w:tc>
          <w:tcPr>
            <w:tcW w:w="450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Stärken</w:t>
            </w:r>
          </w:p>
        </w:tc>
        <w:tc>
          <w:tcPr>
            <w:tcW w:w="450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Schwächen</w:t>
            </w:r>
          </w:p>
        </w:tc>
      </w:tr>
      <w:tr>
        <w:tc>
          <w:tcPr>
            <w:tcW w:w="4500" w:type="dxa"/>
          </w:tcPr>
          <w:p>
            <w:pPr>
              <w:pStyle w:val="TextStart"/>
            </w:pPr>
            <w:r>
              <w:t xml:space="preserve">Einzigartige Kombination (bildschirmfrei + mehrsprachig + privat + adaptiv); Datensouveränität als Vertrauens-Asset; wissenschaftliche Fundierung</w:t>
            </w:r>
          </w:p>
        </w:tc>
        <w:tc>
          <w:tcPr>
            <w:tcW w:w="4500" w:type="dxa"/>
          </w:tcPr>
          <w:p>
            <w:pPr>
              <w:pStyle w:val="TextStart"/>
            </w:pPr>
            <w:r>
              <w:t xml:space="preserve">Startup ohne Marktreputation; hohes F&amp;E-Risiko (Kinder-ASR); Hardware-Komplexität; begrenzte Anfangsressourcen</w:t>
            </w:r>
          </w:p>
        </w:tc>
      </w:tr>
    </w:tbl>
    <w:tbl>
      <w:tblPr>
        <w:tblW w:w="9000" w:type="dxa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4500"/>
        <w:gridCol w:w="4500"/>
      </w:tblGrid>
      <w:tr>
        <w:tc>
          <w:tcPr>
            <w:tcW w:w="450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Chancen</w:t>
            </w:r>
          </w:p>
        </w:tc>
        <w:tc>
          <w:tcPr>
            <w:tcW w:w="4500" w:type="dxa"/>
            <w:shd w:val="clear" w:color="auto" w:fill="D5E8F0"/>
          </w:tcPr>
          <w:p>
            <w:pPr>
              <w:pStyle w:val="TextStart"/>
            </w:pPr>
            <w:r>
              <w:rPr>
                <w:b/>
              </w:rPr>
              <w:t xml:space="preserve">Risiken</w:t>
            </w:r>
          </w:p>
        </w:tc>
      </w:tr>
      <w:tr>
        <w:tc>
          <w:tcPr>
            <w:tcW w:w="4500" w:type="dxa"/>
          </w:tcPr>
          <w:p>
            <w:pPr>
              <w:pStyle w:val="TextStart"/>
            </w:pPr>
            <w:r>
              <w:t xml:space="preserve">Wachsender EdTech-/Datenschutz-Trend; bewährter bildschirmfreier Audio-Markt (Tonies); EU-AI-Act als Rückenwind für „by design"-Datenschutz</w:t>
            </w:r>
          </w:p>
        </w:tc>
        <w:tc>
          <w:tcPr>
            <w:tcW w:w="4500" w:type="dxa"/>
          </w:tcPr>
          <w:p>
            <w:pPr>
              <w:pStyle w:val="TextStart"/>
            </w:pPr>
            <w:r>
              <w:t xml:space="preserve">Markteintritt etablierter Player (Tonies) in Mehrsprachigkeit; technische Hürden; Beschaffung/Hardware-Lieferketten</w:t>
            </w:r>
          </w:p>
        </w:tc>
      </w:tr>
    </w:tbl>
    <w:p>
      <w:pPr>
        <w:pStyle w:val="TextStart"/>
      </w:pPr>
      <w:r>
        <w:rPr>
          <w:b/>
        </w:rPr>
        <w:t xml:space="preserve">Aktuelle Marktposition</w:t>
      </w:r>
    </w:p>
    <w:p>
      <w:pPr>
        <w:pStyle w:val="TextStart"/>
      </w:pPr>
      <w:r>
        <w:t xml:space="preserve">Plappi ist Markteinsteiger (Marktanteil derzeit 0). Die Position wird über den technologischen Vorsprung (Kinder-ASR, private Inferenz) und das Datenschutz-Alleinstellungsmerkmal aufgebaut.</w:t>
      </w:r>
    </w:p>
    <w:p>
      <w:pPr>
        <w:pStyle w:val="TextStart"/>
      </w:pPr>
      <w:r>
        <w:rPr>
          <w:b/>
        </w:rPr>
        <w:t xml:space="preserve">Markteintrittsbarrieren und Reaktion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Technologie/Daten</w:t>
      </w:r>
      <w:r>
        <w:t xml:space="preserve">: hohe F&amp;E-Hürde Kinder-ASR – wird zum eigenen Burggraben (proprietäre Modelle/Daten).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Hardware/Zertifizierung</w:t>
      </w:r>
      <w:r>
        <w:t xml:space="preserve"> (CE/EN71 etc.): über Förderprogramme (aws/Wien) und externe Partner adressiert.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Marke/Vertrauen</w:t>
      </w:r>
      <w:r>
        <w:t xml:space="preserve">: Aufbau über Datenschutz-Positionierung, Kickstarter-Community und Marken­schutz.</w:t>
      </w:r>
    </w:p>
    <w:p>
      <w:pPr>
        <w:pStyle w:val="TextStart"/>
      </w:pPr>
      <w:r>
        <w:rPr>
          <w:b/>
        </w:rPr>
        <w:t xml:space="preserve">Faktenbasis</w:t>
      </w:r>
      <w:r>
        <w:t xml:space="preserve">: öffentliche Produkt-/Unternehmensinformationen der genannten Wettbewerber, Branchenberichte (market.us), tonies-Geschäftsbericht.</w:t>
      </w:r>
    </w:p>
    <w:p>
      <w:r>
        <w:t/>
      </w:r>
      <w:permEnd w:id="71545674"/>
    </w:p>
    <w:p>
      <w:pPr>
        <w:pStyle w:val="Heading2"/>
      </w:pPr>
      <w:r>
        <w:t>3.3. Zielgruppe, USP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5"/>
    </w:p>
    <w:p>
      <w:pPr>
        <w:pStyle w:val="TextStart"/>
      </w:pPr>
      <w:r>
        <w:rPr>
          <w:b/>
        </w:rPr>
        <w:t xml:space="preserve">Zielgruppe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Bilinguale/mehrsprachige Familien</w:t>
      </w:r>
      <w:r>
        <w:t xml:space="preserve">, in denen ein Elternteil die Zweitsprache nicht spricht und zusätzliche, authentische Sprachexposition fehlt (Kernbedarf).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Bildungsorientierte Eltern</w:t>
      </w:r>
      <w:r>
        <w:t xml:space="preserve">, die früh Fremdsprachenkompetenz fördern, aber </w:t>
      </w:r>
      <w:r>
        <w:rPr>
          <w:b/>
        </w:rPr>
        <w:t xml:space="preserve">Bildschirmzeit vermeiden</w:t>
      </w:r>
      <w:r>
        <w:t xml:space="preserve"> wollen.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Datenschutzbewusste Eltern</w:t>
      </w:r>
      <w:r>
        <w:t xml:space="preserve">, die KI-Produkte ohne Daten-Sharing/Kinderdaten-Training suchen.</w:t>
      </w:r>
    </w:p>
    <w:p>
      <w:pPr>
        <w:pStyle w:val="ListParagraph"/>
        <w:numPr>
          <w:ilvl w:val="0"/>
          <w:numId w:val="2"/>
        </w:numPr>
      </w:pPr>
      <w:r>
        <w:t xml:space="preserve">Zweite Zielgruppe (B2B) — Bildungseinrichtungen: Volks-/Grundschulen, Sprachschulen, KiTa-Trägerorganisationen und Sprachförder-Programme (inkl. EU-Inklusions-/Integrationsprogramme). Bedarf: personalisierte, datenschutzkonforme Sprachübungs-Hardware außerhalb des Bildschirm-Settings; lehrer:innenseitig steuerbar (Curricular-Sync mit Vokabel-/Themenkanon, „Hausaufgaben-Modus“) bei vollständigem Schutz kindlicher Sprachdaten (privates Inferencing verbleibt im Kindergerät).</w:t>
      </w:r>
    </w:p>
    <w:p>
      <w:pPr>
        <w:pStyle w:val="TextStart"/>
      </w:pPr>
      <w:r>
        <w:rPr>
          <w:b/>
        </w:rPr>
        <w:t xml:space="preserve">Bedürfnisse</w:t>
      </w:r>
    </w:p>
    <w:p>
      <w:pPr>
        <w:pStyle w:val="TextStart"/>
      </w:pPr>
      <w:r>
        <w:t xml:space="preserve">Wirksame, wissenschaftlich fundierte Sprachförderung; Bildschirmfreiheit; Datensicherheit; einfache Bedienung für Kinder; Transparenz/Kontrolle für Eltern; faire Kosten.</w:t>
      </w:r>
    </w:p>
    <w:p>
      <w:pPr>
        <w:pStyle w:val="TextStart"/>
      </w:pPr>
      <w:r>
        <w:rPr>
          <w:b/>
        </w:rPr>
        <w:t xml:space="preserve">USP anhand eines Anwendungsfalls</w:t>
      </w:r>
    </w:p>
    <w:p>
      <w:pPr>
        <w:pStyle w:val="TextStart"/>
      </w:pPr>
      <w:r>
        <w:rPr>
          <w:b/>
        </w:rPr>
        <w:t xml:space="preserve">Anwendungsfall</w:t>
      </w:r>
      <w:r>
        <w:t xml:space="preserve">: Eine deutschsprachige Familie möchte ihr 5-jähriges Kind an Englisch heranführen; keiner der Eltern spricht fließend Englisch und hat Zeit für tägliche Übung. Mit Plappi führt das Kind </w:t>
      </w:r>
      <w:r>
        <w:rPr>
          <w:b/>
        </w:rPr>
        <w:t xml:space="preserve">freie, altersgerechte englisch-deutsche Dialoge und Geschichten</w:t>
      </w:r>
      <w:r>
        <w:t xml:space="preserve"> – bildschirmfrei, mit sanfter Aussprachekorrektur, Spaced-Repetition-Wiederholung bekannter Wörter und Nutzung von Kognaten. Code-Switching erlaubt natürliche Mischsätze. Alle Gespräche bleiben in der EU und fließen </w:t>
      </w:r>
      <w:r>
        <w:rPr>
          <w:b/>
        </w:rPr>
        <w:t xml:space="preserve">nicht</w:t>
      </w:r>
      <w:r>
        <w:t xml:space="preserve"> in KI-Training. Eltern sehen den Fortschritt im Dashboard.</w:t>
      </w:r>
    </w:p>
    <w:p>
      <w:pPr>
        <w:pStyle w:val="TextStart"/>
      </w:pPr>
      <w:r>
        <w:rPr>
          <w:b/>
        </w:rPr>
        <w:t xml:space="preserve">Alleinstellung</w:t>
      </w:r>
      <w:r>
        <w:t xml:space="preserve">: kein anderes Produkt vereint bildschirmfreien, mehrsprachigen, aktiven Kinder-Dialog mit privater EU-Inferenz und adaptiver, wissenschaftlich fundierter Pädagogik.</w:t>
      </w:r>
    </w:p>
    <w:p>
      <w:pPr>
        <w:pStyle w:val="TextStart"/>
      </w:pPr>
      <w:r>
        <w:rPr>
          <w:b/>
        </w:rPr>
        <w:t xml:space="preserve">Konkretes Kundeninteresse</w:t>
      </w:r>
    </w:p>
    <w:p>
      <w:pPr>
        <w:pStyle w:val="TextStart"/>
      </w:pPr>
      <w:r>
        <w:t xml:space="preserve">Validierung über den </w:t>
      </w:r>
      <w:r>
        <w:rPr>
          <w:b/>
        </w:rPr>
        <w:t>Kickstarter-Launch 24.06.2026 (60-Tage-Kampagne)</w:t>
      </w:r>
      <w:r>
        <w:t xml:space="preserve"> (Vorbestellungen als Nachfragebeleg) und eine Interessenten-/Warteliste. Schriftliche Belege (Pre-Order-Zahlen, Wartelisten) werden – sobald verfügbar – nachgereicht. Aktuell liegen noch keine LOIs/Verträge vor.</w:t>
      </w:r>
    </w:p>
    <w:p>
      <w:r>
        <w:t/>
      </w:r>
      <w:permEnd w:id="71545675"/>
    </w:p>
    <w:p>
      <w:pPr>
        <w:pStyle w:val="Heading2"/>
      </w:pPr>
      <w:r>
        <w:t>3.4. Preisgestaltung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6"/>
    </w:p>
    <w:p>
      <w:pPr>
        <w:pStyle w:val="TextStart"/>
      </w:pPr>
      <w:r>
        <w:rPr>
          <w:b/>
        </w:rPr>
        <w:t xml:space="preserve">Preismodell (Richtwerte, vom Antragsteller zu bestätigen)</w:t>
      </w:r>
      <w:r>
        <w:t xml:space="preserve">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>Gerät: ca. 90 EUR (Premium-Segment bildschirmfreier Kinderprodukte).</w:t>
      </w:r>
      <w:r/>
      <w:r>
        <w:rPr>
          <w:b/>
        </w:rPr>
      </w:r>
      <w:r/>
    </w:p>
    <w:p>
      <w:pPr>
        <w:pStyle w:val="ListParagraph"/>
        <w:numPr>
          <w:ilvl w:val="0"/>
          <w:numId w:val="2"/>
        </w:numPr>
      </w:pPr>
      <w:r>
        <w:rPr>
          <w:b/>
        </w:rPr>
        <w:t>Abo: ca. 9,90 EUR/Monat für Content, Updates und private Inferenz.</w:t>
      </w:r>
      <w:r/>
      <w:r>
        <w:rPr>
          <w:b/>
        </w:rPr>
      </w:r>
      <w:r/>
    </w:p>
    <w:p>
      <w:pPr>
        <w:pStyle w:val="TextStart"/>
      </w:pPr>
      <w:r>
        <w:rPr>
          <w:b/>
        </w:rPr>
        <w:t xml:space="preserve">Relation zum Mitbewerb</w:t>
      </w:r>
      <w:r>
        <w:t>: Der Gerätepreis (~90 EUR) liegt im Bereich einer Toniebox (~100 EUR) und damit marktüblich; das Abo refinanziert die laufenden Inferenz-/Content-Kosten und ist gegenüber kostenpflichtigen Sprachlern-Apps (häufig ähnliche oder höhere Monatsbeträge) konkurrenzfähig – bei deutlich größerem Funktionsumfang (Hardware, Mehrsprachigkeit, Datenschutz). Das kombinierte Modell (Gerät + Abo) folgt dem am Markt etablierten und validierten Tonies-Muster, erweitert es jedoch um wiederkehrende Erlöse aus dem KI-Dialog.</w:t>
      </w:r>
    </w:p>
    <w:p>
      <w:r>
        <w:t/>
      </w:r>
      <w:permEnd w:id="71545676"/>
    </w:p>
    <w:p>
      <w:pPr>
        <w:pStyle w:val="Heading2"/>
      </w:pPr>
      <w:r>
        <w:t>3.5. Umsatzpotenzial und Rentabilität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7"/>
    </w:p>
    <w:p>
      <w:pPr>
        <w:pStyle w:val="TextStart"/>
      </w:pPr>
      <w:r>
        <w:rPr>
          <w:b/>
        </w:rPr>
        <w:t xml:space="preserve">Umsatzpotenzial (Richtwerte, mit Finanzplan zu hinterlegen)</w:t>
      </w:r>
    </w:p>
    <w:p>
      <w:pPr>
        <w:pStyle w:val="TextStart"/>
      </w:pPr>
      <w:r>
        <w:rPr>
          <w:b/>
        </w:rPr>
        <w:t xml:space="preserve">Kurzfristig</w:t>
      </w:r>
      <w:r>
        <w:t xml:space="preserve"> (Markteinführung DACH/EU nach Projektende): Aufbau einer ersten Installationsbasis über Kickstarter und Online-Direktvertrieb. </w:t>
      </w:r>
      <w:r>
        <w:rPr>
          <w:b/>
        </w:rPr>
        <w:t xml:space="preserve">Mittelfristig</w:t>
      </w:r>
      <w:r>
        <w:t xml:space="preserve">: EU-weite Skalierung, danach USA – analog zur Tonies-Skalierung.</w:t>
      </w:r>
    </w:p>
    <w:p>
      <w:pPr>
        <w:pStyle w:val="TextStart"/>
      </w:pPr>
      <w:r>
        <w:t xml:space="preserve">Bei einem Gerätepreis von ~90 EUR und ~9,90 EUR/Monat Abo entsteht ein </w:t>
      </w:r>
      <w:r>
        <w:rPr>
          <w:b/>
        </w:rPr>
        <w:t xml:space="preserve">wiederkehrender Erlösstrom</w:t>
      </w:r>
      <w:r>
        <w:t xml:space="preserve"> zusätzlich zum Hardware-Umsatz. Bottom-up-Hochlauf nach Projektende (Planwerte, vor Einreichung gegen Kickstarter-Ergebnisse zu schärfen): erstes Jahr nach Markteintritt ~2.000 Geräte (Geräteumsatz ~200.000 EUR) zuzüglich anlaufendem Abo-Erlös (Cohort-Aufbau ~50.000 EUR), zusammen ~250.000 EUR; Jahr 3 ~12.000 Geräte und ~1,6 Mio. EUR Gesamtumsatz; Jahr 5 ~30.000+ Geräte und ~5–7 Mio. EUR. Der wiederkehrende Abo-Anteil wächst mit der aktiven Installationsbasis. Konkrete Stückzahlen, Marktanteile und Deckungsbeiträge werden im beizulegenden Finanzplan hinterlegt.</w:t>
      </w:r>
    </w:p>
    <w:p>
      <w:pPr>
        <w:pStyle w:val="TextStart"/>
      </w:pPr>
      <w:r>
        <w:rPr>
          <w:b/>
        </w:rPr>
        <w:t xml:space="preserve">Marktanteilsziele</w:t>
      </w:r>
    </w:p>
    <w:p>
      <w:pPr>
        <w:pStyle w:val="TextStart"/>
      </w:pPr>
      <w:r>
        <w:t xml:space="preserve">Realistisches Ziel ist ein kleiner, aber profitabler Anteil am wachsenden EdTech-/Audio-Kindermarkt im Erstmarkt DACH, mit anschließender EU-/US-Expansion. Konkrete Zielwerte sind vom Antragsteller zu fixieren.</w:t>
      </w:r>
    </w:p>
    <w:p>
      <w:pPr>
        <w:pStyle w:val="TextStart"/>
      </w:pPr>
      <w:r>
        <w:rPr>
          <w:b/>
        </w:rPr>
        <w:t xml:space="preserve">Rentabilität / Herstellungskosten</w:t>
      </w:r>
    </w:p>
    <w:p>
      <w:pPr>
        <w:pStyle w:val="TextStart"/>
      </w:pPr>
      <w:r>
        <w:t>Hardware-Herstellungskosten (Stückkosten) liegen nach aktueller Schätzung bei ~25–30 EUR (BOM bei Volumen 2–10k) und damit deutlich unter dem Verkaufspreis von ~90 EUR (positiver Deckungsbeitrag ~60–65 EUR je Gerät); der zusätzliche wesentliche Deckungsbeitrag stammt aus dem skalierenden Abo bei geringen Grenzkosten der EU-Inferenz (durch Inferenz-Optimierung, vgl. 1.6). Die Rentabilität verbessert sich mit der Installationsbasis (Skaleneffekte bei Compute und Content). Detailkalkulation (Stückkosten, Deckungsbeiträge, Break-even) ist im Finanzplan auszuarbeiten. Da Plappi keine Bestandsprodukte hat, entstehen keine Kannibalisierungseffekte.</w:t>
      </w:r>
      <w:r>
        <w:rPr>
          <w:b/>
        </w:rPr>
      </w:r>
      <w:r/>
    </w:p>
    <w:p>
      <w:r>
        <w:t/>
      </w:r>
      <w:permEnd w:id="71545677"/>
    </w:p>
    <w:p>
      <w:pPr>
        <w:pStyle w:val="Heading2"/>
      </w:pPr>
      <w:r>
        <w:t>3.6. Marketing und Verwertung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8"/>
    </w:p>
    <w:p>
      <w:pPr>
        <w:pStyle w:val="TextStart"/>
      </w:pPr>
      <w:r>
        <w:rPr>
          <w:b/>
        </w:rPr>
        <w:t xml:space="preserve">Hinweis</w:t>
      </w:r>
      <w:r>
        <w:t xml:space="preserve">: Markteinführung, Vertrieb und Marketing sind </w:t>
      </w:r>
      <w:r>
        <w:rPr>
          <w:b/>
        </w:rPr>
        <w:t xml:space="preserve">nicht Gegenstand des F&amp;E-Projektes</w:t>
      </w:r>
      <w:r>
        <w:t xml:space="preserve">, sondern der nachgelagerten Verwertung; sie werden hier nur zur Darstellung des Verwertungspfads beschrieben.</w:t>
      </w:r>
    </w:p>
    <w:p>
      <w:pPr>
        <w:pStyle w:val="TextStart"/>
      </w:pPr>
      <w:r>
        <w:rPr>
          <w:b/>
        </w:rPr>
        <w:t xml:space="preserve">Verwertungs- und Marketingstrategie (Zeitplan)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>24.06.2026 – Kickstarter-Launch</w:t>
      </w:r>
      <w:r>
        <w:t xml:space="preserve">: Nachfragevalidierung, Vorfinanzierung der Erstcharge, Community-Aufbau (parallel zum Projekt, nicht gefördert).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Nach Prototyp-Validierung (Projektende)</w:t>
      </w:r>
      <w:r>
        <w:t xml:space="preserve">: Produktions-/Zertifizierungsaufbau über Folgeförderungen (aws Seed, Wirtschaftsagentur Wien).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Markteinführung DACH/EU</w:t>
      </w:r>
      <w:r>
        <w:t xml:space="preserve">: Online-Direktvertrieb (D2C-Webshop), digitales Marketing (Eltern-Communities, Datenschutz-/Bildungs-Narrativ), PR.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Folgejahre</w:t>
      </w:r>
      <w:r>
        <w:t xml:space="preserve">: EU-Handelspartner/Fachhandel (Spielwaren/Bildung), anschließend US-Markteintritt.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Parallel zweite Vertriebsschiene B2B — Bildungseinrichtungen: Ansprache von Schulträgern, Bildungsministerien, Sprachschulen und Sprachförder-/EU-Inklusionsprogrammen; Pilotinstallationen in Schulen und KiTas; Bildungs-Distributoren als mittelfristiger Skalierungs-Hebel.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Produktseitiger B2B-Hebel „Curricular-Sync“: Lehrer:innen synchronisieren über eine begleitende Plappi-App ihren aktuellen Vokabel- und Themenkanon mit dem Gerät; Plappi übt mit dem Kind adaptiv die vorgegebenen Inhalte („Hausaufgaben-Modus“). Die Inhalts-Übergabe erfolgt von der Lehrkraft zum Gerät; kindliche Sprachdaten werden nicht an die Lehrkraft übertragen — privates Inferencing verbleibt im Kindergerät. Damit entsteht ein DSGVO-/EU-AI-Act-konformer Einsatzpfad im schulischen Kontext.</w:t>
      </w:r>
    </w:p>
    <w:p>
      <w:pPr>
        <w:pStyle w:val="TextStart"/>
      </w:pPr>
      <w:r>
        <w:rPr>
          <w:b/>
        </w:rPr>
        <w:t xml:space="preserve">Vertriebskanäle / -netzwerke</w:t>
      </w:r>
    </w:p>
    <w:p>
      <w:pPr>
        <w:pStyle w:val="TextStart"/>
      </w:pPr>
      <w:r>
        <w:t xml:space="preserve">Primär </w:t>
      </w:r>
      <w:r>
        <w:rPr>
          <w:b/>
        </w:rPr>
        <w:t xml:space="preserve">D2C</w:t>
      </w:r>
      <w:r>
        <w:t xml:space="preserve"> (eigener Webshop, Kickstarter-Backer-Basis), ergänzt um </w:t>
      </w:r>
      <w:r>
        <w:rPr>
          <w:b/>
        </w:rPr>
        <w:t xml:space="preserve">Online-Marktplätze</w:t>
      </w:r>
      <w:r>
        <w:t xml:space="preserve"> und mittelfristig </w:t>
      </w:r>
      <w:r>
        <w:rPr>
          <w:b/>
        </w:rPr>
        <w:t xml:space="preserve">Fach-/Einzelhandel</w:t>
      </w:r>
      <w:r>
        <w:t xml:space="preserve"> und Bildungs-Distributoren. Ansprache geografisch (DACH→EU→USA) und inhaltlich (Datenschutz, Bildung, Mehrsprachigkeit).</w:t>
      </w:r>
    </w:p>
    <w:p>
      <w:pPr>
        <w:pStyle w:val="TextStart"/>
      </w:pPr>
      <w:r>
        <w:rPr>
          <w:b/>
        </w:rPr>
        <w:t xml:space="preserve">Ressourcen</w:t>
      </w:r>
    </w:p>
    <w:p>
      <w:pPr>
        <w:pStyle w:val="TextStart"/>
      </w:pPr>
      <w:r>
        <w:t xml:space="preserve">Kurzfristig liegt der Fokus auf F&amp;E (Projektteam Wien). Marketing-/Vertriebsressourcen und -budgets werden nach erfolgreicher Prototyp-Validierung aus Folgeförderungen, Kickstarter-Erlösen und ggf. Investorenkapital aufgebaut. Eine Servicestruktur (Support, Updates, After-Sales) wird mit dem Markteintritt etabliert.</w:t>
      </w:r>
    </w:p>
    <w:p>
      <w:r>
        <w:t/>
      </w:r>
      <w:permEnd w:id="71545678"/>
    </w:p>
    <w:p>
      <w:pPr>
        <w:pStyle w:val="Heading1"/>
      </w:pPr>
      <w:r>
        <w:t>4. Unternehmensstrategie und volkswirtschaftliche Aspekte</w:t>
      </w:r>
    </w:p>
    <w:p>
      <w:pPr>
        <w:pStyle w:val="Heading2"/>
      </w:pPr>
      <w:r>
        <w:t>4.1. F&amp;E-Strategie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0"/>
    </w:p>
    <w:p>
      <w:pPr>
        <w:pStyle w:val="TextStart"/>
      </w:pPr>
      <w:r>
        <w:t xml:space="preserve">Mit dem Projekt baut Plappi eine </w:t>
      </w:r>
      <w:r>
        <w:rPr>
          <w:b/>
        </w:rPr>
        <w:t xml:space="preserve">eigene F&amp;E-Kernkompetenz</w:t>
      </w:r>
      <w:r>
        <w:t xml:space="preserve"> in kindgerechter Sprach-KI, privater EU-Inferenz und adaptiver Lerntechnologie in Wien auf. Diese Kompetenz ist strategisch und über das Einzelprodukt hinaus verwertbar.</w:t>
      </w:r>
      <w:r>
        <w:t xml:space="preserve"> Zur Stärkung der wissenschaftlichen Basis strebt Plappi eine Forschungskooperation mit dem Fraunhofer-Institut (KI4LIFE) an (derzeit in Abstimmung, Entscheidung in den nächsten Wochen); eine solche Kooperation würde die Forschungsqualität und den langfristigen Know-how-Aufbau im Unternehmen deutlich verstärken.</w:t>
      </w:r>
    </w:p>
    <w:p>
      <w:pPr>
        <w:pStyle w:val="TextStart"/>
      </w:pPr>
      <w:r>
        <w:rPr>
          <w:b/>
        </w:rPr>
        <w:t xml:space="preserve">Strategische Ziele über das Projekt hinaus</w:t>
      </w:r>
    </w:p>
    <w:p>
      <w:pPr>
        <w:pStyle w:val="ListParagraph"/>
        <w:numPr>
          <w:ilvl w:val="0"/>
          <w:numId w:val="2"/>
        </w:numPr>
      </w:pPr>
      <w:r>
        <w:t xml:space="preserve">Etablierung einer </w:t>
      </w:r>
      <w:r>
        <w:rPr>
          <w:b/>
        </w:rPr>
        <w:t xml:space="preserve">proprietären Kinder-Sprach-/ASR-Plattform</w:t>
      </w:r>
      <w:r>
        <w:t xml:space="preserve"> als Basis für weitere Sprachen, Altersstufen und Produktvarianten.</w:t>
      </w:r>
    </w:p>
    <w:p>
      <w:pPr>
        <w:pStyle w:val="ListParagraph"/>
        <w:numPr>
          <w:ilvl w:val="0"/>
          <w:numId w:val="2"/>
        </w:numPr>
      </w:pPr>
      <w:r>
        <w:t xml:space="preserve">Aufbau eines wiederverwendbaren </w:t>
      </w:r>
      <w:r>
        <w:rPr>
          <w:b/>
        </w:rPr>
        <w:t xml:space="preserve">privaten Inferenz-Stacks</w:t>
      </w:r>
      <w:r>
        <w:t xml:space="preserve"> (datensouveräne KI „made in EU") als Differenzierungs- und potenziell lizenzierbares Asset.</w:t>
      </w:r>
    </w:p>
    <w:p>
      <w:pPr>
        <w:pStyle w:val="ListParagraph"/>
        <w:numPr>
          <w:ilvl w:val="0"/>
          <w:numId w:val="2"/>
        </w:numPr>
      </w:pPr>
      <w:r>
        <w:t xml:space="preserve">Kontinuierliche Weiterentwicklung der </w:t>
      </w:r>
      <w:r>
        <w:rPr>
          <w:b/>
        </w:rPr>
        <w:t xml:space="preserve">Pädagogik-Engine</w:t>
      </w:r>
      <w:r>
        <w:t xml:space="preserve"> und Datensätze als langfristiger Burggraben.</w:t>
      </w:r>
    </w:p>
    <w:p>
      <w:pPr>
        <w:pStyle w:val="TextStart"/>
      </w:pPr>
      <w:r>
        <w:rPr>
          <w:b/>
        </w:rPr>
        <w:t xml:space="preserve">Entwicklung von F&amp;E-Aufwand und -Arbeitsplätzen</w:t>
      </w:r>
    </w:p>
    <w:p>
      <w:pPr>
        <w:pStyle w:val="TextStart"/>
      </w:pPr>
      <w:r>
        <w:t xml:space="preserve">Das Unternehmen startet mit der Projektleitung (Gründer) und zwei geplanten F&amp;E-Fachkräften (ML/Speech-Engineer, Embedded/Firmware-Engineer) in Wien. Geplant ist ein </w:t>
      </w:r>
      <w:r>
        <w:rPr>
          <w:b/>
        </w:rPr>
        <w:t xml:space="preserve">schrittweiser Ausbau</w:t>
      </w:r>
      <w:r>
        <w:t xml:space="preserve"> der F&amp;E-Mannschaft mit wachsendem Produkt- und Sprachportfolio in den Folgejahren. Bei der Personalentwicklung wird auf </w:t>
      </w:r>
      <w:r>
        <w:rPr>
          <w:b/>
        </w:rPr>
        <w:t xml:space="preserve">geschlechterspezifische Ausgewogenheit</w:t>
      </w:r>
      <w:r>
        <w:t xml:space="preserve"> geachtet (aktive, diversitätsorientierte Rekrutierung; vgl. 4.4). Der F&amp;E-Aufwand bleibt – als Technologieunternehmen – dauerhaft ein zentraler, wachsender Kostenblock.</w:t>
      </w:r>
    </w:p>
    <w:p>
      <w:r>
        <w:t/>
      </w:r>
      <w:permEnd w:id="71545680"/>
    </w:p>
    <w:p>
      <w:pPr>
        <w:pStyle w:val="Heading2"/>
      </w:pPr>
      <w:r>
        <w:t>4.2. Volkswirtschaftliche Aspekte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1"/>
    </w:p>
    <w:p>
      <w:pPr>
        <w:pStyle w:val="TextStart"/>
      </w:pPr>
      <w:r>
        <w:rPr>
          <w:b/>
        </w:rPr>
        <w:t xml:space="preserve">Personalstand</w:t>
      </w:r>
      <w:r>
        <w:t xml:space="preserve">: Das Projekt schafft </w:t>
      </w:r>
      <w:r>
        <w:rPr>
          <w:b/>
        </w:rPr>
        <w:t xml:space="preserve">hochqualifizierte F&amp;E-Arbeitsplätze in Wien</w:t>
      </w:r>
      <w:r>
        <w:t xml:space="preserve"> (Start: Projektleitung + 2 F&amp;E-Fachkräfte) mit geplantem Ausbau in F&amp;E sowie später in Vertrieb/Service nach Markteintritt.</w:t>
      </w:r>
    </w:p>
    <w:p>
      <w:pPr>
        <w:pStyle w:val="TextStart"/>
      </w:pPr>
      <w:r>
        <w:rPr>
          <w:b/>
        </w:rPr>
        <w:t xml:space="preserve">Leistungsbilanz/Export</w:t>
      </w:r>
      <w:r>
        <w:t xml:space="preserve">: Plappi zielt auf Export in EU und USA; die wiederkehrenden Abo-Erlöse aus dem Ausland erhöhen die </w:t>
      </w:r>
      <w:r>
        <w:rPr>
          <w:b/>
        </w:rPr>
        <w:t xml:space="preserve">Exportquote</w:t>
      </w:r>
      <w:r>
        <w:t xml:space="preserve">. Durch private EU-Inferenz statt außereuropäischer Cloud-LLM-APIs werden </w:t>
      </w:r>
      <w:r>
        <w:rPr>
          <w:b/>
        </w:rPr>
        <w:t xml:space="preserve">Importleistungen substituiert</w:t>
      </w:r>
      <w:r>
        <w:t xml:space="preserve"> (digitale Souveränität).</w:t>
      </w:r>
    </w:p>
    <w:p>
      <w:pPr>
        <w:pStyle w:val="TextStart"/>
      </w:pPr>
      <w:r>
        <w:rPr>
          <w:b/>
        </w:rPr>
        <w:t xml:space="preserve">Österreichische Wertschöpfung</w:t>
      </w:r>
      <w:r>
        <w:t xml:space="preserve">: F&amp;E, IP, Modelle/Datensätze, Software und Dienstleistungen entstehen in Wien; die Inferenz läuft auf EU-Infrastruktur. </w:t>
      </w:r>
      <w:r>
        <w:rPr>
          <w:b/>
        </w:rPr>
        <w:t xml:space="preserve">Regionalpolitisch</w:t>
      </w:r>
      <w:r>
        <w:t xml:space="preserve"> stärkt das Vorhaben den KI-/EdTech-Standort Wien und schafft qualifizierte Beschäftigung.</w:t>
      </w:r>
    </w:p>
    <w:p>
      <w:r>
        <w:t/>
      </w:r>
      <w:permEnd w:id="71545681"/>
    </w:p>
    <w:p>
      <w:pPr>
        <w:pStyle w:val="Heading2"/>
      </w:pPr>
      <w:r>
        <w:t>4.3. Nachhaltige Wirkung und soziale Verantwortung auf Unternehmensebene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pStyle w:val="Heading3"/>
      </w:pPr>
      <w:r>
        <w:t>4.3.1. Ökologie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</w:t>
      </w:r>
      <w:r>
        <w:rPr>
          <w:i/>
        </w:rPr>
        <w:t xml:space="preserve">, </w:t>
      </w:r>
      <w:r>
        <w:rPr>
          <w:b/>
          <w:i/>
        </w:rPr>
        <w:t xml:space="preserve">Prozesse </w:t>
      </w:r>
      <w:r>
        <w:rPr>
          <w:i/>
        </w:rPr>
        <w:t xml:space="preserve">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und 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 </w:t>
      </w:r>
      <w:r>
        <w:br/>
        <w:t xml:space="preserve"> 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</w:t>
      </w:r>
      <w:r>
        <w:rPr>
          <w:b/>
          <w:i/>
        </w:rPr>
        <w:t xml:space="preserve">Umsetzung </w:t>
      </w:r>
      <w:r>
        <w:rPr>
          <w:i/>
        </w:rPr>
        <w:t xml:space="preserve">und des Erfolgs? </w:t>
      </w:r>
      <w:r>
        <w:br/>
        <w:t xml:space="preserve"> 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  <w:t xml:space="preserve"> </w:t>
      </w:r>
    </w:p>
    <w:p>
      <w:r>
        <w:rPr>
          <w:i/>
        </w:rPr>
        <w:t xml:space="preserve">Berücksichtigen Sie die ökologische Dimension. 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628a16973ca2476c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Stellen Sie </w:t>
      </w:r>
      <w:r>
        <w:rPr>
          <w:b/>
          <w:i/>
        </w:rPr>
        <w:t xml:space="preserve">ausschließlich </w:t>
      </w:r>
      <w:r>
        <w:rPr>
          <w:i/>
        </w:rPr>
        <w:t xml:space="preserve">die </w:t>
      </w:r>
      <w:r>
        <w:rPr>
          <w:b/>
        </w:rPr>
        <w:t xml:space="preserve">wesentlichen Aspekte</w:t>
      </w:r>
      <w:r>
        <w:rPr>
          <w:i/>
        </w:rPr>
        <w:t xml:space="preserve">, </w:t>
      </w:r>
      <w:r>
        <w:rPr>
          <w:b/>
          <w:i/>
        </w:rPr>
        <w:t xml:space="preserve">Maßnahmen </w:t>
      </w:r>
      <w:r>
        <w:rPr>
          <w:i/>
        </w:rPr>
        <w:t xml:space="preserve">und deren </w:t>
      </w:r>
      <w:r>
        <w:rPr>
          <w:b/>
          <w:i/>
        </w:rPr>
        <w:t xml:space="preserve">Wirkung </w:t>
      </w:r>
      <w:r>
        <w:rPr>
          <w:i/>
        </w:rPr>
        <w:t xml:space="preserve">dar, die </w:t>
      </w:r>
      <w:r>
        <w:rPr>
          <w:b/>
          <w:i/>
        </w:rPr>
        <w:t xml:space="preserve">über </w:t>
      </w:r>
      <w:r>
        <w:rPr>
          <w:i/>
        </w:rPr>
        <w:t xml:space="preserve">das </w:t>
      </w:r>
      <w:r>
        <w:rPr>
          <w:b/>
          <w:i/>
        </w:rPr>
        <w:t xml:space="preserve">branchenübliche Ausmaß hinausgehen</w:t>
      </w:r>
      <w:r>
        <w:rPr>
          <w:i/>
        </w:rPr>
        <w:t xml:space="preserve">.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Klimagerechte </w:t>
      </w:r>
      <w:r>
        <w:rPr>
          <w:i/>
        </w:rPr>
        <w:t xml:space="preserve">und </w:t>
      </w:r>
      <w:r>
        <w:rPr>
          <w:b/>
          <w:i/>
        </w:rPr>
        <w:t xml:space="preserve">umweltbewusste Ausrichtung </w:t>
      </w:r>
      <w:r>
        <w:rPr>
          <w:i/>
        </w:rPr>
        <w:t xml:space="preserve">des Unternehmens, 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Sensibilisierung </w:t>
      </w:r>
      <w:r>
        <w:rPr>
          <w:i/>
        </w:rPr>
        <w:t xml:space="preserve">der eigenen </w:t>
      </w:r>
      <w:r>
        <w:rPr>
          <w:b/>
          <w:i/>
        </w:rPr>
        <w:t xml:space="preserve">Mitarbeiter:innen </w:t>
      </w:r>
      <w:r>
        <w:rPr>
          <w:i/>
        </w:rPr>
        <w:t xml:space="preserve">in dem Themenbereich, nachhaltiger Ressourcen- und Energieverbrauch (zB Materialeinsparung, Kreislaufwirtschaft, 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Zero Waste</w:t>
      </w:r>
      <w:r>
        <w:rPr>
          <w:i/>
        </w:rPr>
        <w:t xml:space="preserve">, </w:t>
      </w:r>
      <w:r>
        <w:rPr>
          <w:b/>
          <w:i/>
        </w:rPr>
        <w:t xml:space="preserve">Vermeidung </w:t>
      </w:r>
      <w:r>
        <w:rPr>
          <w:i/>
        </w:rPr>
        <w:t xml:space="preserve">von </w:t>
      </w:r>
      <w:r>
        <w:rPr>
          <w:b/>
          <w:i/>
        </w:rPr>
        <w:t xml:space="preserve">Lebensmittelverschwendung</w:t>
      </w:r>
      <w:r>
        <w:rPr>
          <w:i/>
        </w:rPr>
        <w:t xml:space="preserve">), </w:t>
      </w:r>
    </w:p>
    <w:p>
      <w:pPr>
        <w:pStyle w:val="ListParagraph"/>
        <w:numPr>
          <w:ilvl w:val="0"/>
          <w:numId w:val="10"/>
        </w:numPr>
      </w:pPr>
      <w:r>
        <w:rPr>
          <w:i/>
        </w:rPr>
        <w:t xml:space="preserve">Angebote zur </w:t>
      </w:r>
      <w:r>
        <w:rPr>
          <w:b/>
          <w:i/>
        </w:rPr>
        <w:t xml:space="preserve">nachhaltigen Mobilität</w:t>
      </w:r>
      <w:r>
        <w:rPr>
          <w:i/>
        </w:rPr>
        <w:t xml:space="preserve"> für die </w:t>
      </w:r>
      <w:r>
        <w:rPr>
          <w:b/>
          <w:i/>
        </w:rPr>
        <w:t xml:space="preserve">Mitarbeiter:innen</w:t>
      </w:r>
      <w:r>
        <w:rPr>
          <w:i/>
        </w:rPr>
        <w:t xml:space="preserve"> etc.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3"/>
    </w:p>
    <w:p>
      <w:pPr>
        <w:pStyle w:val="TextStart"/>
      </w:pPr>
      <w:r>
        <w:t xml:space="preserve">Als junges Unternehmen (in Gründung) verankert Plappi Nachhaltigkeit von Beginn an in Strukturen und Prozessen – über das branchenübliche Maß hinaus: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Energiebewusste IT/KI</w:t>
      </w:r>
      <w:r>
        <w:t xml:space="preserve">: bewusste Wahl energieeffizienter, quelloffener Modelle und optimierter Inferenz; EU-Rechenzentren mit zunehmend dekarbonisiertem Strommix; Monitoring des Energie-/CO2-Verbrauchs je Inferenz als interne Kennzahl.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Ressourcenschonende Produktgestaltung</w:t>
      </w:r>
      <w:r>
        <w:t xml:space="preserve">: Langlebigkeit, Reparierbarkeit und Update-Fähigkeit als Designprinzipien (Vermeidung von Wegwerf-Elektronik).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Schlanker, digitaler Betrieb</w:t>
      </w:r>
      <w:r>
        <w:t xml:space="preserve">: ressourcenarme, remote-fähige Arbeitsweise, Vermeidung unnötiger Hardware-/Reisekosten.</w:t>
      </w:r>
    </w:p>
    <w:p>
      <w:pPr>
        <w:pStyle w:val="TextStart"/>
      </w:pPr>
      <w:r>
        <w:t xml:space="preserve">Ein formales Wirkungsmonitoring wird mit dem Unternehmenswachstum etabliert; Zertifizierungen/Auszeichnungen liegen als Startup noch nicht vor.</w:t>
      </w:r>
    </w:p>
    <w:p>
      <w:r>
        <w:t/>
      </w:r>
      <w:permEnd w:id="71545683"/>
    </w:p>
    <w:p>
      <w:pPr>
        <w:pStyle w:val="Heading3"/>
      </w:pPr>
      <w:r>
        <w:t>4.3.2. Soziales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Strukturen, Prozesse</w:t>
      </w:r>
      <w:r>
        <w:rPr>
          <w:i/>
        </w:rPr>
        <w:t xml:space="preserve"> 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</w:t>
      </w:r>
      <w:r>
        <w:rPr>
          <w:i/>
        </w:rPr>
        <w:t xml:space="preserve">und </w:t>
      </w:r>
      <w:r>
        <w:rPr>
          <w:b/>
          <w:i/>
        </w:rPr>
        <w:t xml:space="preserve">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</w:t>
      </w:r>
      <w:r>
        <w:br/>
        <w:t xml:space="preserve"> 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Umsetzung und des </w:t>
      </w:r>
      <w:r>
        <w:rPr>
          <w:b/>
          <w:i/>
        </w:rPr>
        <w:t xml:space="preserve">Erfolgs</w:t>
      </w:r>
      <w:r>
        <w:rPr>
          <w:i/>
        </w:rPr>
        <w:t xml:space="preserve">? </w:t>
      </w:r>
      <w:r>
        <w:br/>
        <w:t xml:space="preserve"> 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  <w:t xml:space="preserve"> </w:t>
      </w:r>
    </w:p>
    <w:p>
      <w:pPr>
        <w:pStyle w:val="ListParagraph"/>
        <w:numPr>
          <w:ilvl w:val="0"/>
          <w:numId w:val="12"/>
        </w:numPr>
      </w:pPr>
      <w:r>
        <w:rPr>
          <w:i/>
        </w:rPr>
        <w:t xml:space="preserve">Maßnahmen zur </w:t>
      </w:r>
      <w:r>
        <w:rPr>
          <w:b/>
          <w:i/>
        </w:rPr>
        <w:t xml:space="preserve">Gleichstellung </w:t>
      </w:r>
      <w:r>
        <w:rPr>
          <w:i/>
        </w:rPr>
        <w:t xml:space="preserve">aller Mitarbeiter:innen (zB Gender Gap, Team und Management, Diversität), </w:t>
      </w:r>
    </w:p>
    <w:p>
      <w:pPr>
        <w:pStyle w:val="ListParagraph"/>
        <w:numPr>
          <w:ilvl w:val="0"/>
          <w:numId w:val="12"/>
        </w:numPr>
      </w:pPr>
      <w:r>
        <w:rPr>
          <w:b/>
          <w:i/>
        </w:rPr>
        <w:t xml:space="preserve">Angebote </w:t>
      </w:r>
      <w:r>
        <w:rPr>
          <w:i/>
        </w:rPr>
        <w:t xml:space="preserve">für die </w:t>
      </w:r>
      <w:r>
        <w:rPr>
          <w:b/>
          <w:i/>
        </w:rPr>
        <w:t xml:space="preserve">Gesundheit</w:t>
      </w:r>
      <w:r>
        <w:rPr>
          <w:i/>
        </w:rPr>
        <w:t xml:space="preserve"> der Mitarbeiter:innen, </w:t>
      </w:r>
    </w:p>
    <w:p>
      <w:pPr>
        <w:pStyle w:val="ListParagraph"/>
        <w:numPr>
          <w:ilvl w:val="0"/>
          <w:numId w:val="12"/>
        </w:numPr>
      </w:pPr>
      <w:r>
        <w:rPr>
          <w:b/>
          <w:i/>
        </w:rPr>
        <w:t xml:space="preserve">Bildungsangebot </w:t>
      </w:r>
      <w:r>
        <w:rPr>
          <w:i/>
        </w:rPr>
        <w:t xml:space="preserve">für alle Mitarbeiter:innen.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4"/>
    </w:p>
    <w:p>
      <w:pPr>
        <w:pStyle w:val="TextStart"/>
      </w:pPr>
      <w:r>
        <w:t xml:space="preserve">Plappi strebt von Beginn an eine </w:t>
      </w:r>
      <w:r>
        <w:rPr>
          <w:b/>
        </w:rPr>
        <w:t xml:space="preserve">diverse, chancengerechte Teamzusammensetzung</w:t>
      </w:r>
      <w:r>
        <w:t xml:space="preserve"> und faire Arbeitsbedingungen an – über das branchenübliche Maß hinaus: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Gleichstellung/Diversität</w:t>
      </w:r>
      <w:r>
        <w:t xml:space="preserve">: aktive, diversitätsorientierte Rekrutierung (insb. Frauen in technischen F&amp;E-Rollen), Bewusstsein für den Gender Gap im KI-Bereich.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Faire, familienfreundliche Bedingungen</w:t>
      </w:r>
      <w:r>
        <w:t xml:space="preserve">: flexible/remote-fähige Arbeit, Vereinbarkeit von Beruf und Familie.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Weiterbildung</w:t>
      </w:r>
      <w:r>
        <w:t xml:space="preserve">: kontinuierliche fachliche Entwicklung aller Mitarbeiter:innen (KI/ML, Embedded, Pädagogik).</w:t>
      </w:r>
    </w:p>
    <w:p>
      <w:pPr>
        <w:pStyle w:val="TextStart"/>
      </w:pPr>
      <w:r>
        <w:t xml:space="preserve">Gesellschaftlich wirkt zudem die Produktmission (Bildungszugang, Datenschutz für Kinder) als Teil der sozialen Verantwortung. Ein Wirkungsmonitoring wird mit dem Wachstum aufgebaut.</w:t>
      </w:r>
    </w:p>
    <w:p>
      <w:r>
        <w:t/>
      </w:r>
      <w:permEnd w:id="71545684"/>
    </w:p>
    <w:p>
      <w:pPr>
        <w:pStyle w:val="Heading3"/>
      </w:pPr>
      <w:r>
        <w:t>4.3.3. Ökonomie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Strukturen, Prozesse</w:t>
      </w:r>
      <w:r>
        <w:rPr>
          <w:i/>
        </w:rPr>
        <w:t xml:space="preserve"> 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</w:t>
      </w:r>
      <w:r>
        <w:rPr>
          <w:i/>
        </w:rPr>
        <w:t xml:space="preserve">und </w:t>
      </w:r>
      <w:r>
        <w:rPr>
          <w:b/>
          <w:i/>
        </w:rPr>
        <w:t xml:space="preserve">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</w:t>
      </w:r>
      <w:r>
        <w:br/>
        <w:t xml:space="preserve"> 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</w:t>
      </w:r>
      <w:r>
        <w:rPr>
          <w:b/>
          <w:i/>
        </w:rPr>
        <w:t xml:space="preserve">Umsetzung </w:t>
      </w:r>
      <w:r>
        <w:rPr>
          <w:i/>
        </w:rPr>
        <w:t xml:space="preserve">und des </w:t>
      </w:r>
      <w:r>
        <w:rPr>
          <w:b/>
          <w:i/>
        </w:rPr>
        <w:t xml:space="preserve">Erfolgs</w:t>
      </w:r>
      <w:r>
        <w:rPr>
          <w:i/>
        </w:rPr>
        <w:t xml:space="preserve">? </w:t>
      </w:r>
      <w:r>
        <w:br/>
        <w:t xml:space="preserve"> 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  <w:t xml:space="preserve"> 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Maßnahmen </w:t>
      </w:r>
      <w:r>
        <w:rPr>
          <w:i/>
        </w:rPr>
        <w:t xml:space="preserve">und </w:t>
      </w:r>
      <w:r>
        <w:rPr>
          <w:b/>
          <w:i/>
        </w:rPr>
        <w:t xml:space="preserve">Strukturen </w:t>
      </w:r>
      <w:r>
        <w:rPr>
          <w:i/>
        </w:rPr>
        <w:t xml:space="preserve">zur </w:t>
      </w:r>
      <w:r>
        <w:rPr>
          <w:b/>
          <w:i/>
        </w:rPr>
        <w:t xml:space="preserve">nachhaltigen Unternehmensführung</w:t>
      </w:r>
      <w:r>
        <w:rPr>
          <w:i/>
        </w:rPr>
        <w:t xml:space="preserve"> (zB Lieferantenkette, Wertschöpfungskette, Arbeitspraktiken der Lieferanten, Konsumentenschutz), </w:t>
      </w:r>
    </w:p>
    <w:p>
      <w:pPr>
        <w:pStyle w:val="ListParagraph"/>
        <w:numPr>
          <w:ilvl w:val="0"/>
          <w:numId w:val="14"/>
        </w:numPr>
      </w:pPr>
      <w:r>
        <w:rPr>
          <w:i/>
        </w:rPr>
        <w:t xml:space="preserve">nachhaltige </w:t>
      </w:r>
      <w:r>
        <w:rPr>
          <w:b/>
          <w:i/>
        </w:rPr>
        <w:t xml:space="preserve">Infrastruktur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Nachhaltigkeitszertifikate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Verbesserung</w:t>
      </w:r>
      <w:r>
        <w:rPr>
          <w:i/>
        </w:rPr>
        <w:t xml:space="preserve"> der </w:t>
      </w:r>
      <w:r>
        <w:rPr>
          <w:b/>
          <w:i/>
        </w:rPr>
        <w:t xml:space="preserve">Arbeitsbedingungen</w:t>
      </w:r>
      <w:r>
        <w:rPr>
          <w:i/>
        </w:rPr>
        <w:t xml:space="preserve"> etc.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5"/>
    </w:p>
    <w:p>
      <w:pPr>
        <w:pStyle w:val="TextStart"/>
      </w:pPr>
      <w:r>
        <w:t xml:space="preserve">Ökonomisch verfolgt Plappi eine </w:t>
      </w:r>
      <w:r>
        <w:rPr>
          <w:b/>
        </w:rPr>
        <w:t xml:space="preserve">nachhaltige, vorsichtige Unternehmensführung</w:t>
      </w:r>
      <w:r>
        <w:t xml:space="preserve"> über das branchenübliche Maß hinaus: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Belastbare Finanzierung</w:t>
      </w:r>
      <w:r>
        <w:t xml:space="preserve">: diversifizierter Finanzierungsmix (Eigenmittel, Förderungen, Patronat, Kickstarter) statt einseitiger Abhängigkeit; Vermeidung von Überschuldung.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Verantwortungsvolle Lieferkette</w:t>
      </w:r>
      <w:r>
        <w:t xml:space="preserve">: Auswahl von Hardware-/Komponentenlieferanten nach Qualitäts-, Sozial- und Umweltkriterien (mit wachsender Marktmacht ausbaubar).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Faire Partnerschaften</w:t>
      </w:r>
      <w:r>
        <w:t xml:space="preserve">: langfristige, faire Beziehungen zu Dienstleistern (Speech-Daten, Zertifizierung) und EU-Infrastrukturpartnern.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Werteorientiertes Geschäftsmodell</w:t>
      </w:r>
      <w:r>
        <w:t xml:space="preserve">: Erträge aus Produktnutzen (Gerät + Abo) statt aus der Monetarisierung kindlicher Nutzerdaten.</w:t>
      </w:r>
    </w:p>
    <w:p>
      <w:pPr>
        <w:pStyle w:val="TextStart"/>
      </w:pPr>
      <w:r>
        <w:t xml:space="preserve">Damit ist die ökonomische Nachhaltigkeit strukturell verankert; ein formales Nachhaltigkeitsmanagement wächst mit dem Unternehmen.</w:t>
      </w:r>
    </w:p>
    <w:p>
      <w:r>
        <w:t/>
      </w:r>
      <w:permEnd w:id="71545685"/>
    </w:p>
    <w:p>
      <w:pPr>
        <w:pStyle w:val="Heading2"/>
      </w:pPr>
      <w:r>
        <w:t>4.4. Genderaspekte und Genderrelevanz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6"/>
    </w:p>
    <w:p>
      <w:pPr>
        <w:pStyle w:val="TextStart"/>
      </w:pPr>
      <w:r>
        <w:rPr>
          <w:b/>
        </w:rPr>
        <w:t xml:space="preserve">Maßnahmen im Unternehmen</w:t>
      </w:r>
    </w:p>
    <w:p>
      <w:pPr>
        <w:pStyle w:val="TextStart"/>
      </w:pPr>
      <w:r>
        <w:t xml:space="preserve">Plappi schafft geschlechterspezifisch ausgewogene Arbeitsbedingungen durch </w:t>
      </w:r>
      <w:r>
        <w:rPr>
          <w:b/>
        </w:rPr>
        <w:t xml:space="preserve">diversitätsorientierte Rekrutierung</w:t>
      </w:r>
      <w:r>
        <w:t xml:space="preserve"> (gezielte Ansprache von Frauen für technische F&amp;E-Rollen, geschlechtsneutrale Stellenausschreibungen), faire/transparente Vergütung, flexible und familienfreundliche Arbeitsmodelle. Da das Team noch im Aufbau ist, werden diese Grundsätze von Beginn an in die Personalstrategie integriert; </w:t>
      </w:r>
      <w:r>
        <w:rPr>
          <w:b/>
        </w:rPr>
        <w:t xml:space="preserve">zusätzliche Maßnahmen</w:t>
      </w:r>
      <w:r>
        <w:t xml:space="preserve"> (z. B. Mentoring, Kooperationen mit „Women in Tech"-Netzwerken) sind mit wachsendem Team geplant.</w:t>
      </w:r>
    </w:p>
    <w:p>
      <w:pPr>
        <w:pStyle w:val="TextStart"/>
      </w:pPr>
      <w:r>
        <w:rPr>
          <w:b/>
        </w:rPr>
        <w:t xml:space="preserve">Genderrelevanz des Forschungsinhalts</w:t>
      </w:r>
    </w:p>
    <w:p>
      <w:pPr>
        <w:pStyle w:val="TextStart"/>
      </w:pPr>
      <w:r>
        <w:t xml:space="preserve">Der Forschungsinhalt weist </w:t>
      </w:r>
      <w:r>
        <w:rPr>
          <w:b/>
        </w:rPr>
        <w:t xml:space="preserve">Genderrelevanz</w:t>
      </w:r>
      <w:r>
        <w:t xml:space="preserve"> auf: Kinderstimmen unterscheiden sich u. a. nach Geschlecht, und ASR-Modelle können geschlechtsbezogene Verzerrungen aufweisen. Daher wird bei Datenerhebung und Evaluierung auf </w:t>
      </w:r>
      <w:r>
        <w:rPr>
          <w:b/>
        </w:rPr>
        <w:t xml:space="preserve">ausgewogene Repräsentation der Geschlechter</w:t>
      </w:r>
      <w:r>
        <w:t xml:space="preserve"> geachtet und die Erkennungsqualität getrennt nach Geschlecht evaluiert (Bias-Vermeidung).</w:t>
      </w:r>
    </w:p>
    <w:p>
      <w:pPr>
        <w:pStyle w:val="TextStart"/>
      </w:pPr>
      <w:r>
        <w:rPr>
          <w:b/>
        </w:rPr>
        <w:t xml:space="preserve">Positive Gender-Folgewirkungen</w:t>
      </w:r>
    </w:p>
    <w:p>
      <w:pPr>
        <w:pStyle w:val="TextStart"/>
      </w:pPr>
      <w:r>
        <w:t xml:space="preserve">Das Produkt wird </w:t>
      </w:r>
      <w:r>
        <w:rPr>
          <w:b/>
        </w:rPr>
        <w:t xml:space="preserve">geschlechtsneutral</w:t>
      </w:r>
      <w:r>
        <w:t xml:space="preserve"> gestaltet (Design, Stimmen, Geschichteninhalte) und vermeidet Stereotype; Geschichten und Rollenbilder fördern Vielfalt. So entstehen positive Gender-Folgewirkungen für die Zielgruppe (Kinder).</w:t>
      </w:r>
    </w:p>
    <w:p>
      <w:r>
        <w:t/>
      </w:r>
      <w:permEnd w:id="71545686"/>
    </w:p>
    <w:p>
      <w:pPr>
        <w:pStyle w:val="Heading1"/>
      </w:pPr>
      <w:r>
        <w:t>Quellenverzeichnis</w:t>
      </w:r>
    </w:p>
    <w:p>
      <w:pPr>
        <w:pBdr>
          <w:top w:val="single" w:sz="4"/>
        </w:pBdr>
      </w:pPr>
      <w:r/>
    </w:p>
    <w:p>
      <w:r>
        <w:t/>
      </w:r>
      <w:permStart w:edGrp="everyone" w:id="999"/>
    </w:p>
    <w:p>
      <w:pPr>
        <w:pStyle w:val="ListParagraph"/>
        <w:numPr>
          <w:ilvl w:val="0"/>
          <w:numId w:val="2"/>
        </w:numPr>
      </w:pPr>
      <w:r>
        <w:t xml:space="preserve">Hoff, E., Core, C., Place, S., Rumiche, R., Señor, M., &amp; Parra, M. (2012). Dual language exposure and early bilingual development. Journal of Child Language, 39(1), 1–27.</w:t>
      </w:r>
    </w:p>
    <w:p>
      <w:pPr>
        <w:pStyle w:val="ListParagraph"/>
        <w:numPr>
          <w:ilvl w:val="0"/>
          <w:numId w:val="2"/>
        </w:numPr>
      </w:pPr>
      <w:r>
        <w:t xml:space="preserve">Romeo, R. R., Leonard, J. A., Robinson, S. T., et al. (2018). Beyond the 30-Million-Word Gap: Children’s Conversational Exposure Is Associated With Language-Related Brain Function. Psychological Science, 29(5), 700–710.</w:t>
      </w:r>
    </w:p>
    <w:p>
      <w:pPr>
        <w:pStyle w:val="ListParagraph"/>
        <w:numPr>
          <w:ilvl w:val="0"/>
          <w:numId w:val="2"/>
        </w:numPr>
      </w:pPr>
      <w:r>
        <w:t xml:space="preserve">Roediger, H. L., &amp; Karpicke, J. D. (2006). Test-Enhanced Learning: Taking Memory Tests Improves Long-Term Retention. Psychological Science, 17(3), 249–255.</w:t>
      </w:r>
    </w:p>
    <w:p>
      <w:pPr>
        <w:pStyle w:val="ListParagraph"/>
        <w:numPr>
          <w:ilvl w:val="0"/>
          <w:numId w:val="2"/>
        </w:numPr>
      </w:pPr>
      <w:r>
        <w:t xml:space="preserve">Mitchell, L., et al. (2024). Cognate facilitation effects in second/foreign language vocabulary learning. (Forschungsbefund zum Kognaten-Vorteil; vollständige Zitation vom Antragsteller zu ergänzen.)</w:t>
      </w:r>
    </w:p>
    <w:p>
      <w:pPr>
        <w:pStyle w:val="ListParagraph"/>
        <w:numPr>
          <w:ilvl w:val="0"/>
          <w:numId w:val="2"/>
        </w:numPr>
      </w:pPr>
      <w:r>
        <w:t xml:space="preserve">Eurostat (2024). Population by age group / Children in the EU (0–14 Jahre: ~65,6 Mio.); Foreign language learning statistics (89,4 % Englisch in der Sekundarstufe II). ec.europa.eu/eurostat.</w:t>
      </w:r>
    </w:p>
    <w:p>
      <w:pPr>
        <w:pStyle w:val="ListParagraph"/>
        <w:numPr>
          <w:ilvl w:val="0"/>
          <w:numId w:val="2"/>
        </w:numPr>
      </w:pPr>
      <w:r>
        <w:t xml:space="preserve">tonies SE (2025). Geschäftsbericht/Investor-Information FY2024 (~480 Mio. EUR Umsatz; &gt; 8 Mio. Tonieboxen; &gt; 100 Mio. Figuren). ir.tonies.com.</w:t>
      </w:r>
    </w:p>
    <w:p>
      <w:pPr>
        <w:pStyle w:val="ListParagraph"/>
        <w:numPr>
          <w:ilvl w:val="0"/>
          <w:numId w:val="2"/>
        </w:numPr>
      </w:pPr>
      <w:r>
        <w:t xml:space="preserve">market.us (2024). EdTech / Language Learning Market Report (~USD 11,7 Mrd. 2024; CAGR ~27 %). market.us.</w:t>
      </w:r>
    </w:p>
    <w:p>
      <w:pPr>
        <w:pStyle w:val="ListParagraph"/>
        <w:numPr>
          <w:ilvl w:val="0"/>
          <w:numId w:val="2"/>
        </w:numPr>
      </w:pPr>
      <w:r>
        <w:t xml:space="preserve">Seeweb (2025). Cloud Server GPU – Preisliste (H100 ~1,89 EUR/h; A100 ~0,99 EUR/h). seeweb.it/en/products/cloud-server-gpu.</w:t>
      </w:r>
    </w:p>
    <w:p>
      <w:pPr>
        <w:pStyle w:val="ListParagraph"/>
        <w:numPr>
          <w:ilvl w:val="0"/>
          <w:numId w:val="2"/>
        </w:numPr>
      </w:pPr>
      <w:r>
        <w:t xml:space="preserve">Verordnung (EU) 2024/1689 (EU AI Act) — insb. Bestimmungen zu Hochrisiko- und sensitiven Anwendungen einschließlich Schutz Minderjähriger. eur-lex.europa.eu.</w:t>
      </w:r>
    </w:p>
    <w:p>
      <w:pPr>
        <w:pStyle w:val="ListParagraph"/>
        <w:numPr>
          <w:ilvl w:val="0"/>
          <w:numId w:val="2"/>
        </w:numPr>
      </w:pPr>
      <w:r>
        <w:t xml:space="preserve">Saferinternet.at — Initiative für sichere Internet-/Mediennutzung von Kindern und Jugendlichen (Österreichisches Institut für angewandte Telekommunikation, ÖIAT). saferinternet.at.</w:t>
      </w:r>
    </w:p>
    <w:p>
      <w:pPr>
        <w:pStyle w:val="ListParagraph"/>
        <w:numPr>
          <w:ilvl w:val="0"/>
          <w:numId w:val="2"/>
        </w:numPr>
      </w:pPr>
      <w:r>
        <w:t xml:space="preserve">market.us (2024). Connected Toys Market — Größe und Wachstumsraten (CAGR ~19–25 %). market.us.</w:t>
      </w:r>
    </w:p>
    <w:p>
      <w:pPr>
        <w:pStyle w:val="ListParagraph"/>
        <w:numPr>
          <w:ilvl w:val="0"/>
          <w:numId w:val="2"/>
        </w:numPr>
      </w:pPr>
      <w:r>
        <w:t xml:space="preserve">Eurostat (2022). Foreign language learning at primary level — rund 84 % der Primarstufe in der EU mit Fremdsprachenunterricht. ec.europa.eu/eurostat.</w:t>
      </w:r>
    </w:p>
    <w:p>
      <w:pPr>
        <w:pStyle w:val="TextStart"/>
      </w:pPr>
      <w:r>
        <w:t xml:space="preserve">Hinweis: Marktzahlen und einzelne Zitationen sind Richtwerte und vom Antragsteller vor Einreichung zu verifizieren und ggf. zu vervollständigen.</w:t>
      </w:r>
    </w:p>
    <w:p>
      <w:r>
        <w:t/>
      </w:r>
      <w:permEnd w:id="999"/>
    </w:p>
    <w:sectPr>
      <w:footerReference xmlns:r="http://schemas.openxmlformats.org/officeDocument/2006/relationships" r:id="Rce4dc4f58e914bf6"/>
      <w:headerReference xmlns:r="http://schemas.openxmlformats.org/officeDocument/2006/relationships" r:id="Rfde9e7fa0279401c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78C" w:rsidP="00F71513" w:rsidRDefault="00A233F8" w14:paraId="7A0973D1" w14:textId="04B4D306">
    <w:pPr>
      <w:pStyle w:val="Footer"/>
      <w:jc w:val="both"/>
      <w:rPr>
        <w:b/>
        <w:bCs/>
      </w:rPr>
    </w:pPr>
    <w:r>
      <w:br/>
    </w:r>
    <w:r w:rsidRPr="0010788C" w:rsidR="0010788C">
      <w:t xml:space="preserve">71545616 </w:t>
    </w:r>
    <w:r w:rsidR="00CA378C">
      <w:ptab w:alignment="center" w:relativeTo="margin" w:leader="none"/>
    </w:r>
    <w:r w:rsidRPr="0010788C" w:rsidR="0010788C">
      <w:t xml:space="preserve"> Plappi </w:t>
    </w:r>
    <w:r w:rsidR="00CA378C">
      <w:ptab w:alignment="right" w:relativeTo="margin" w:leader="none"/>
    </w:r>
    <w:r w:rsidR="00CA378C">
      <w:t xml:space="preserve">Seite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PAGE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1</w:t>
    </w:r>
    <w:r w:rsidR="00CA378C">
      <w:rPr>
        <w:b/>
        <w:bCs/>
      </w:rPr>
      <w:fldChar w:fldCharType="end"/>
    </w:r>
    <w:r w:rsidR="00CA378C">
      <w:t xml:space="preserve"> von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NUMPAGES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2</w:t>
    </w:r>
    <w:r w:rsidR="00CA378C">
      <w:rPr>
        <w:b/>
        <w:bCs/>
      </w:rPr>
      <w:fldChar w:fldCharType="end"/>
    </w:r>
  </w:p>
  <w:p w:rsidRPr="003944AC" w:rsidR="00D568F1" w:rsidP="00A1016D" w:rsidRDefault="00D568F1" w14:paraId="57AD1EAC" w14:textId="53E53C80">
    <w:pPr>
      <w:pStyle w:val="Footer"/>
      <w:jc w:val="center"/>
      <w:rPr>
        <w:b/>
        <w:bCs/>
      </w:rPr>
    </w:pPr>
    <w:r>
      <w:rPr>
        <w:b/>
        <w:bCs/>
      </w:rPr>
      <w:t xml:space="preserve">Zuletzt gespeichert am </w:t>
    </w:r>
    <w:r w:rsidR="003944AC">
      <w:rPr>
        <w:b/>
        <w:bCs/>
      </w:rPr>
      <w:fldChar w:fldCharType="begin"/>
    </w:r>
    <w:r w:rsidR="003944AC">
      <w:rPr>
        <w:b/>
        <w:bCs/>
      </w:rPr>
      <w:instrText xml:space="preserve"> SAVEDATE  \@ "dd.MM.yyyy HH:mm"  \* MERGEFORMAT </w:instrText>
    </w:r>
    <w:r w:rsidR="003944AC">
      <w:rPr>
        <w:b/>
        <w:bCs/>
      </w:rPr>
      <w:fldChar w:fldCharType="separate"/>
    </w:r>
    <w:r w:rsidR="00D80AB9">
      <w:rPr>
        <w:b/>
        <w:bCs/>
        <w:noProof/>
      </w:rPr>
      <w:t>12.05.2020 16:12</w:t>
    </w:r>
    <w:r w:rsidR="003944AC"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3255"/>
    </w:tblGrid>
    <w:tr w:rsidR="00D01B4B" w:rsidTr="00D80AB9" w14:paraId="723F4230" w14:textId="77777777">
      <w:tc>
        <w:tcPr>
          <w:tcW w:w="5807" w:type="dxa"/>
        </w:tcPr>
        <w:p w:rsidR="00D01B4B" w:rsidP="000B3FD0" w:rsidRDefault="00D01B4B" w14:paraId="4C97BEA4" w14:textId="7B8B01B5">
          <w:pPr>
            <w:pStyle w:val="Header"/>
            <w:tabs>
              <w:tab w:val="clear" w:pos="4536"/>
            </w:tabs>
            <w:jc w:val="both"/>
            <w:rPr>
              <w:lang w:val="de-DE"/>
            </w:rPr>
          </w:pPr>
          <w:r>
            <w:rPr>
              <w:lang w:val="de-DE"/>
            </w:rPr>
            <w:t>Basisprogramm</w:t>
          </w:r>
        </w:p>
      </w:tc>
      <w:tc>
        <w:tcPr>
          <w:tcW w:w="3255" w:type="dxa"/>
        </w:tcPr>
        <w:p w:rsidR="00D01B4B" w:rsidP="00D01B4B" w:rsidRDefault="00D01B4B" w14:paraId="7479730A" w14:textId="0EE4A241">
          <w:pPr>
            <w:pStyle w:val="Header"/>
            <w:tabs>
              <w:tab w:val="clear" w:pos="4536"/>
            </w:tabs>
            <w:jc w:val="right"/>
            <w:rPr>
              <w:lang w:val="de-DE"/>
            </w:rPr>
          </w:pPr>
          <w:r>
            <w:rPr>
              <w:lang w:val="de-DE"/>
            </w:rPr>
            <w:t>Einzelprojekt</w:t>
          </w:r>
        </w:p>
      </w:tc>
    </w:tr>
  </w:tbl>
  <w:p w:rsidRPr="003944AC" w:rsidR="00D01B4B" w:rsidP="000B3FD0" w:rsidRDefault="00D01B4B" w14:paraId="5D936172" w14:textId="77777777">
    <w:pPr>
      <w:pStyle w:val="Header"/>
      <w:tabs>
        <w:tab w:val="clear" w:pos="4536"/>
      </w:tabs>
      <w:jc w:val="both"/>
      <w:rPr>
        <w:lang w:val="de-D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documentProtection w:edit="readOnly" w:enforcement="true" w:cryptAlgorithmSid="14" w:cryptSpinCount="100" w:hash="4GdSVKOYiVz08DM6rjF/YPeUvVKfyFNATHobwvmC16ruItV1jtHpa4utgZ3RuNxf/aDZxK7/YXXYcCbAA7fDXQ==" w:salt="I7ocfWa6Lbc="/>
</w:settings>
</file>

<file path=word/styles.xml><?xml version="1.0" encoding="utf-8"?>
<w:styles xmlns:w="http://schemas.openxmlformats.org/wordprocessingml/2006/main">
  <w:style w:type="paragraph" w:styleId="Heading1" w:customStyle="false">
    <w:name w:val="Heading 1"/>
    <w:basedOn w:val="Normal"/>
    <w:next w:val="Normal"/>
    <w:rPr>
      <w:b/>
      <w:color w:themeColor="accent1"/>
      <w:sz w:val="30"/>
    </w:rPr>
  </w:style>
  <w:style w:type="paragraph" w:styleId="Heading2" w:customStyle="false">
    <w:name w:val="Heading 2"/>
    <w:basedOn w:val="Normal"/>
    <w:next w:val="Normal"/>
    <w:rPr>
      <w:b/>
      <w:color w:themeColor="accent1"/>
      <w:sz w:val="26"/>
    </w:rPr>
  </w:style>
  <w:style w:type="paragraph" w:styleId="LengthText" w:customStyle="true">
    <w:name w:val="LengthText"/>
    <w:basedOn w:val="Normal"/>
    <w:next w:val="Normal"/>
    <w:rPr>
      <w:i/>
      <w:b/>
      <w:color w:themeColor="accent1"/>
      <w:sz w:val="20"/>
    </w:rPr>
  </w:style>
  <w:style w:type="paragraph" w:styleId="TextStart" w:customStyle="true">
    <w:name w:val="TextStart"/>
    <w:basedOn w:val="Normal"/>
    <w:next w:val="Normal"/>
    <w:rPr>
      <w:b/>
      <w:color w:themeColor="accent1"/>
      <w:sz w:val="20"/>
    </w:rPr>
  </w:style>
  <w:style w:type="paragraph" w:styleId="Heading3" w:customStyle="false">
    <w:name w:val="Heading 3"/>
    <w:basedOn w:val="Normal"/>
    <w:next w:val="Normal"/>
    <w:rPr>
      <w:b/>
      <w:color w:themeColor="accent1"/>
      <w:sz w:val="24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_rels/document.xml.rels><?xml version='1.0' encoding='UTF-8' standalone='yes'?>
<Relationships xmlns="http://schemas.openxmlformats.org/package/2006/relationships"><Relationship Id="R9864a3cf37564ee0" Type="http://schemas.openxmlformats.org/officeDocument/2006/relationships/styles" Target="styles.xml"/><Relationship Id="R7ef77354ae104974" Type="http://schemas.openxmlformats.org/officeDocument/2006/relationships/numbering" Target="numbering.xml"/><Relationship Id="Rcf95649dbe004e27" Type="http://schemas.openxmlformats.org/officeDocument/2006/relationships/hyperlink" Target="https://www.ffg.at/nachhaltigkeit-kriterien" TargetMode="External"/><Relationship Id="R6d970af5ed4748af" Type="http://schemas.openxmlformats.org/officeDocument/2006/relationships/hyperlink" Target="https://www.ffg.at/nachhaltigkeit-kriterien" TargetMode="External"/><Relationship Id="Rd61b110e28b64936" Type="http://schemas.openxmlformats.org/officeDocument/2006/relationships/hyperlink" Target="https://www.ffg.at/nachhaltigkeit-kriterien" TargetMode="External"/><Relationship Id="R628a16973ca2476c" Type="http://schemas.openxmlformats.org/officeDocument/2006/relationships/hyperlink" Target="https://www.ffg.at/nachhaltigkeit-kriterien" TargetMode="External"/><Relationship Id="R27572b88059f4a71" Type="http://schemas.openxmlformats.org/officeDocument/2006/relationships/hyperlink" Target="https://www.ffg.at/nachhaltigkeit-kriterien" TargetMode="External"/><Relationship Id="Rbcbb2fc13f8840bb" Type="http://schemas.openxmlformats.org/officeDocument/2006/relationships/hyperlink" Target="https://www.ffg.at/nachhaltigkeit-kriterien" TargetMode="External"/><Relationship Id="Rfde9e7fa0279401c" Type="http://schemas.openxmlformats.org/officeDocument/2006/relationships/header" Target="header1.xml"/><Relationship Id="Rce4dc4f58e914bf6" Type="http://schemas.openxmlformats.org/officeDocument/2006/relationships/footer" Target="footer1.xml"/><Relationship Id="R3c38f13b2cd247a0" Type="http://schemas.openxmlformats.org/officeDocument/2006/relationships/settings" Target="settings.xml"/></Relationships>
</file>