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1. Klincov,  Nemanja</w:t>
      </w:r>
    </w:p>
    <w:p>
      <w:pPr>
        <w:pStyle w:val="Heading2"/>
      </w:pPr>
      <w:r>
        <w:t>1.1. Organisationsbeschreibung</w:t>
      </w:r>
    </w:p>
    <w:p>
      <w:r>
        <w:t>Antragsteller ist die in Gründung befindliche Plappi FlexKapG (FlexCo i.G.), geplanter Sitz Wien; Gründung zeitnah über FinanzOnline. Plappi entwickelt einen displaylosen, sprachgesteuerten KI-Hardware-Lernbegleiter für die mehrsprachige Sprachförderung von Kindern (2–15 Jahre). Gründer und Geschäftsführer ist Nemanja Klincov mit einschlägigem KI/ML-Hintergrund (über die BReact GmbH, EU-Tender-erprobt). Zum Projektstart besteht ein eigenfinanzierter, funktionsfähiger Prototyp (Hardware-/Software-Demonstrator mit privatem EU-Inferencing). Geplante Eigentümerstruktur: gründer-eigen und unabhängig (keine Beteiligung der BReact GmbH); BReact unterstützt über Kompetenz/Team sowie eine Patronatserklärung, nicht über Anteile. Ein Businessplan/Finanzplan liegt bei.</w:t>
      </w:r>
    </w:p>
    <w:p>
      <w:pPr>
        <w:pStyle w:val="Heading2"/>
      </w:pPr>
      <w:r>
        <w:t>1.2. Ergebnisse aus anderen Projekten</w:t>
      </w:r>
    </w:p>
    <w:p>
      <w:r>
        <w:t>Es liegen keine geförderten Vorprojekte der Plappi FlexCo (i.G.) vor (Neugründung). Eingebracht werden einschlägiges KI/ML- und EU-Tender-Know-how des Gründers aus der BReact GmbH sowie ein eigenfinanzierter, nicht geförderter Prototyp (private EU-Inferenz, mehrsprachiger Sprachdialog) als abgegrenzte Vorarbeit.</w:t>
      </w:r>
    </w:p>
    <w:p>
      <w:pPr>
        <w:pStyle w:val="Heading2"/>
      </w:pPr>
      <w:r>
        <w:t>1.3. Schlüsselkompetenzen</w:t>
      </w:r>
    </w:p>
    <w:p>
      <w:r>
        <w:t>Notwendig sind: (a) KI/Speech-Engineering (mehrsprachige Kinder-ASR/TTS, Echtzeit-Code-Switching, Finetuning); (b) private EU-Inferenz/MLOps (On-Device- und EU-GPU-Deployment, Inferenz-Optimierung); (c) Embedded/Firmware für ressourcenbeschränkte Hardware; (d) Daten/Annotation mehrsprachiger kindlicher Sprache; (e) Pädagogik/Didaktik adaptiver Sprachförderung; (f) Projektleitung und F&amp;E-Management. Abgedeckt durch den Gründer (KI/ML, EU-Tender, Projektleitung) und die geplanten F&amp;E-Stellen: Senior AI/Speech-Engineer, Embedded/Inference-Engineer, Speech-Data/ML-Engineer. Die Lebensläufe der zentralen Personen werden im eCall unter Kosten/Personal nachgereicht.</w:t>
      </w:r>
    </w:p>
    <w:p>
      <w:pPr>
        <w:pStyle w:val="Heading2"/>
      </w:pPr>
      <w:r>
        <w:t>1.4. Projektrelevante Infrastruktur und Produktion</w:t>
      </w:r>
    </w:p>
    <w:p>
      <w:r>
        <w:t>Benötigt werden GPU-/Compute-Ressourcen für privates EU-Inferencing (gemietete EU-GPU-Infrastruktur, als Sachkosten budgetiert – keine Eigeninvestition nötig), Entwicklungs-Hardware/Testequipment sowie ML-Tooling/Lizenzen. Die Kerninfrastruktur ist extern (EU-Cloud-GPU) beziehbar. Die spätere Geräte-Serienproduktion ist NICHT Teil dieses FFG-Projekts (Projektgrenze = validierter Prototyp) und wird über separate Programme/Partner adressiert.</w:t>
      </w:r>
    </w:p>
    <w:p>
      <w:pPr>
        <w:pStyle w:val="Heading2"/>
      </w:pPr>
      <w:r>
        <w:t>1.5. Aufgaben von Drittleistern (Unternehmen, Forschungseinrichtungen)</w:t>
      </w:r>
    </w:p>
    <w:p>
      <w:r>
        <w:t>Eingebundene Drittleister außerhalb des Antragstellers: (1) EU-GPU-/Cloud-Provider für privates Inferencing (Miete von Compute, F&amp;E); (2) externer Dienstleister für mehrsprachige ASR-Trainingsdaten/Annotation (kindgerechte Sprache). Eine wissenschaftliche Forschungskooperation (z.B. Fraunhofer, Bereich KI4LIFE) ist in Abstimmung und würde bei Zustandekommen als eigenes Arbeitspaket ergänzt. Angebote/Leistungsbeschreibungen für Positionen über 20.000 EUR werden nachgereicht.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