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/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2520000" cy="313733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og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137331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b/>
          <w:color w:val="2E5B9E"/>
          <w:sz w:val="52"/>
        </w:rPr>
        <w:t>Businessplan &amp; Finanzplan — Plappi</w:t>
      </w:r>
    </w:p>
    <w:p>
      <w:pPr>
        <w:jc w:val="center"/>
      </w:pPr>
      <w:r>
        <w:rPr>
          <w:i/>
          <w:color w:val="595959"/>
          <w:sz w:val="28"/>
        </w:rPr>
        <w:t>Displayloser, kameraloser KI-Sprachlernbegleiter für Kinder</w:t>
      </w:r>
    </w:p>
    <w:p/>
    <w:p/>
    <w:p>
      <w:pPr>
        <w:jc w:val="center"/>
      </w:pPr>
      <w:r>
        <w:rPr>
          <w:b/>
          <w:sz w:val="24"/>
        </w:rPr>
        <w:t>FFG Basisprogramm · Projektnummer 944442 (eCall-Antrag 71545616)</w:t>
      </w:r>
    </w:p>
    <w:p>
      <w:pPr>
        <w:jc w:val="center"/>
      </w:pPr>
      <w:r>
        <w:rPr>
          <w:b w:val="0"/>
          <w:sz w:val="24"/>
        </w:rPr>
        <w:t>Antragsteller: Plappi FlexCo (i.G.), Wien</w:t>
      </w:r>
    </w:p>
    <w:p>
      <w:pPr>
        <w:jc w:val="center"/>
      </w:pPr>
      <w:r>
        <w:rPr>
          <w:b w:val="0"/>
          <w:sz w:val="24"/>
        </w:rPr>
        <w:t>Juni 2026</w:t>
      </w:r>
    </w:p>
    <w:p>
      <w:r>
        <w:br w:type="page"/>
      </w:r>
    </w:p>
    <w:p>
      <w:pPr>
        <w:spacing w:after="160"/>
      </w:pPr>
      <w:r>
        <w:rPr>
          <w:b/>
          <w:color w:val="2E5B9E"/>
          <w:sz w:val="36"/>
        </w:rPr>
        <w:t>Inhaltsverzeichnis</w:t>
      </w:r>
    </w:p>
    <w:p>
      <w:r>
        <w:rPr>
          <w:i/>
          <w:color w:val="595959"/>
          <w:sz w:val="18"/>
        </w:rPr>
        <w:t>Hinweis: Bitte das Inhaltsverzeichnis nach dem Öffnen in Word mit Rechtsklick → „Feld aktualisieren“ (oder F9) aktualisieren.</w:t>
      </w:r>
    </w:p>
    <w:p>
      <w:r>
        <w:fldChar w:fldCharType="begin"/>
        <w:instrText xml:space="preserve">TOC \o "1-3" \h \z \u</w:instrText>
        <w:fldChar w:fldCharType="separate"/>
      </w:r>
      <w:r>
        <w:t>Inhaltsverzeichnis wird beim Öffnen in Word aktualisiert (F9).</w:t>
      </w:r>
      <w:r>
        <w:fldChar w:fldCharType="end"/>
      </w:r>
    </w:p>
    <w:p>
      <w:r>
        <w:br w:type="page"/>
      </w:r>
    </w:p>
    <w:p>
      <w:pPr>
        <w:pStyle w:val="Heading1"/>
      </w:pPr>
      <w:r>
        <w:t>Plappi FlexCo (i.G.) — Businessplan &amp; Finanzplan</w:t>
      </w:r>
    </w:p>
    <w:p>
      <w:pPr>
        <w:pBdr>
          <w:left w:val="single" w:sz="18" w:space="8" w:color="9DB7D6"/>
        </w:pBdr>
        <w:spacing w:before="80" w:after="120"/>
        <w:ind w:left="340"/>
      </w:pPr>
      <w:r>
        <w:rPr>
          <w:b/>
          <w:i/>
          <w:color w:val="595959"/>
          <w:sz w:val="20"/>
        </w:rPr>
        <w:t>Pflicht-Anhang zum FFG-Basisprogramm, Antrag 71545616 (FFG-Projektnummer 944442).</w:t>
      </w:r>
      <w:r>
        <w:rPr>
          <w:i/>
          <w:color w:val="595959"/>
          <w:sz w:val="20"/>
        </w:rPr>
        <w:t xml:space="preserve"> Antragsteller: Plappi FlexCo (Flexible Kapitalgesellschaft, in Gründung), Sitz Esslinggasse 5/Top 1, 1010 Wien. Konsistent mit inhaltliche_NEU.docx, KOSTENPLAN_B_24Mt.md und FINANZIERUNG_HEBEL.md. Adressiert Bewertungskriterium 3 (wirtschaftliche Durchführbarkeit) — den häufigsten Ablehnungsgrund junger Unternehmen: „Folgekosten übersteigen die Leistungsfähigkeit / fehlendes Finanzierungskonzept". Dieser Plan belegt das Gegenteil.</w:t>
      </w:r>
    </w:p>
    <w:p>
      <w:pPr>
        <w:pStyle w:val="Heading2"/>
      </w:pPr>
      <w:r>
        <w:t>1. Executive Summary</w:t>
      </w:r>
    </w:p>
    <w:p>
      <w:r>
        <w:rPr>
          <w:b/>
        </w:rPr>
        <w:t>Das Problem.</w:t>
      </w:r>
      <w:r>
        <w:t xml:space="preserve"> Mehrsprachig erziehende Familien sind systematisch unterversorgt. Spricht ein Elternteil die Zweitsprache nicht, ist der andere die einzige Sprachquelle — und bei Zeitmangel bricht genau jene Exposition weg, die der aktive Spracherwerb braucht. Die Sprachwissenschaft beziffert das präzise: Für aktiven Zweitspracherwerb sind rund 30 % Sprachexposition nötig (Hoff et al., 2012), und die Qualität der Konversation — die „conversational turns" — wirkt stärker als reine Menge (Romeo et al., 2018). Die heute verfügbaren Lösungen lösen dieses Problem nicht: Audio-Lernspielzeug ist einsprachig und passiv; Sprachlern-Apps sind bildschirmgebunden, datenschutzkritisch und für Kleinkinder ungeeignet; Smart Speaker sind weder kindzentriert noch pädagogisch. Parallel wächst der Elternwunsch nach KI-Produkten, die ohne Bildschirm, ohne Kamera und ohne Daten-Sharing auskommen.</w:t>
      </w:r>
    </w:p>
    <w:p>
      <w:r>
        <w:rPr>
          <w:b/>
        </w:rPr>
        <w:t>Die Lösung.</w:t>
      </w:r>
      <w:r>
        <w:t xml:space="preserve"> Plappi ist ein displayloser </w:t>
      </w:r>
      <w:r>
        <w:rPr>
          <w:b/>
        </w:rPr>
        <w:t>und kameraloser</w:t>
      </w:r>
      <w:r>
        <w:t xml:space="preserve">, sprachgesteuerter KI-Hardware-Lernbegleiter für Kinder von 2 bis 15 Jahren. Statt passivem Audio führt das Gerät aktiven, mehrsprachigen Dialog — frei, altersgerecht, mit sanfter Aussprachekorrektur und wissenschaftlich fundierter Pädagogik. Der entscheidende Vertrauens- und Differenzierungshebel ist die radikale Privatsphäre-Architektur: </w:t>
      </w:r>
      <w:r>
        <w:rPr>
          <w:b/>
        </w:rPr>
        <w:t>kein Bildschirm und keine Kamera</w:t>
      </w:r>
      <w:r>
        <w:t xml:space="preserve"> im Kinderzimmer, kombiniert mit privater EU-Inferenz auf quelloffenen Modellen, bei der kindliche Sprachdaten architektonisch vom KI-Training ausgeschlossen sind (DSGVO- und EU-AI-Act-konform „by design"). Das Ergebnis ist — nach derzeitigem Kenntnisstand erstmals — die Vereinigung von freiem Sprachdialog, kindzentrierter Spracherkennung, datensouveräner EU-Inferenz und adaptiver, auf über 75 peer-reviewten Studien fußender Pädagogik in einem einzigen, bildschirm- und kamerafreien Gerät. Ein funktionsfähiger, vollständig eigenfinanzierter Prototyp existiert bereits und belegt die grundsätzliche Machbarkeit.</w:t>
      </w:r>
    </w:p>
    <w:p>
      <w:r>
        <w:rPr>
          <w:b/>
        </w:rPr>
        <w:t>Der Markt.</w:t>
      </w:r>
      <w:r>
        <w:t xml:space="preserve"> Plappi adressiert den Schnittbereich aus EdTech-Sprachlernen, bildschirmfreiem Audio-Kinderprodukt und datensouveräner Consumer-KI-Hardware. Die Basis ist groß: rund 65,6 Mio. Kinder (0–14 J.) in der EU (Eurostat 2024), 89,4 % der Oberstufenschüler lernen Englisch als Fremdsprache. Der EdTech-Sprachlernmarkt liegt bei rund USD 11,7 Mrd. (2024) und wächst mit einer CAGR von ~27 % (market.us). Dass bildschirmfreie, vernetzte Audio-Hardware im Kinderzimmer gesellschaftlich akzeptiert ist, belegt tonies SE eindrücklich: FY2024 rund 480 Mio. EUR Umsatz, über 8 Mio. verkaufte Geräte, über 100 Mio. Figuren — allerdings einsprachig und passiv. Plappi besetzt genau die Lücke, die Tonies offenlässt: aktiven, mehrsprachigen, privaten Lern-Dialog.</w:t>
      </w:r>
    </w:p>
    <w:p>
      <w:r>
        <w:rPr>
          <w:b/>
        </w:rPr>
        <w:t>Das Team.</w:t>
      </w:r>
      <w:r>
        <w:t xml:space="preserve"> Geschäftsführer und Projektleiter ist Nemanja Klincov, der über einen einschlägigen KI/ML-Track-Record (BReact, EU-Tender-erprobt) verfügt und den bestehenden Prototyp selbst entwickelt hat. Um ihn herum entstehen vier neu geschaffene F&amp;E-Stellen in Wien: Senior AI/Speech (N.N.1), Embedded/Inferenz (N.N.2) und Speech-Data/ML (N.N.4) ab Projektstart, ein Daten/Pädagogik-Engineer (N.N.3) ab Forschungsjahr 2. Eine optionale Forschungskooperation mit dem Fraunhofer-Institut (Bereich KI4LIFE) befindet sich in Abstimmung; bei Zustandekommen eröffnet sie einen Upgrade-Pfad auf 60 % Förderquote.</w:t>
      </w:r>
    </w:p>
    <w:p>
      <w:r>
        <w:rPr>
          <w:b/>
        </w:rPr>
        <w:t>Das Förder-Setup.</w:t>
      </w:r>
      <w:r>
        <w:t xml:space="preserve"> Eingereicht wird über die Plappi FlexCo (i.G.) als „Unternehmen in Gründung" — der etablierte FFG-Standardweg, der den Anreizeffekt voll wahrt. Das FFG-Basisprogramm wird in Mischform genutzt: ein Beihilfen-Barwert von 45 % (AGVO-Höchstintensität für ein KMU ohne Forschungskooperation) bei einer realen Cash-Quote von bis zu 70 % (nicht rückzahlbarer Zuschuss zuzüglich zinsbegünstigtem Darlehen zu 1,75 %, endfällig fünf Jahre nach Projektende). Die 50-%-Erstrate fließt unmittelbar bei Vertragsannahme. Ein sauberer Arbeitspaket-Split verhindert jede Doppelförderung: Der FFG-Antrag finanziert ausschließlich den KI-/F&amp;E-Kern, die Geräte-Hardware läuft über aws, die Zertifizierung über die Wirtschaftsagentur Wien — disjunkte Kosten, keine Position doppelt gefördert.</w:t>
      </w:r>
    </w:p>
    <w:p>
      <w:r>
        <w:rPr>
          <w:b/>
        </w:rPr>
        <w:t>Der Kapitalbedarf.</w:t>
      </w:r>
      <w:r>
        <w:t xml:space="preserve"> Die förderbaren Gesamtkosten des 24-monatigen F&amp;E-Projekts betragen rund 1,488 Mio. EUR. Daraus ergibt sich eine FFG-Förderung von rund 670k EUR (Barwert, 45 %) bzw. ein FFG-Cash-Mix von rund 1,04 Mio. EUR. Der Eigenanteil (Barwert-Sicht ~818k) ist über einen bewusst diversifizierten Mix gedeckt: GF-Eigenleistung (unbar) ~150k, Eigenmittel/Stammkapital ~90k, BReact-Patronat ~400k (2×200k/Jahr), Kickstarter ~80k und Gesellschafterdarlehen ~98k. Entscheidend für die Gutachter-Frage „Trägt der Gründer das?": Der </w:t>
      </w:r>
      <w:r>
        <w:rPr>
          <w:b/>
        </w:rPr>
        <w:t>reale Gründer-Cash-Bedarf liegt über 24 Monate bei nur rund 60–100k EUR</w:t>
      </w:r>
      <w:r>
        <w:t xml:space="preserve"> — alles Übrige läuft über Förderung, zinsbegünstigtes Darlehen, Patronatszusage und Markteinführung.</w:t>
      </w:r>
    </w:p>
    <w:p>
      <w:r>
        <w:rPr>
          <w:b/>
        </w:rPr>
        <w:t>Der Umsatzausblick.</w:t>
      </w:r>
      <w:r>
        <w:t xml:space="preserve"> Nach Projektende skaliert Plappi entlang einer bottom-up hergeleiteten, konservativen Hochlaufkurve: Jahr 1 rund 2.000 Geräte / ~250k EUR, Jahr 3 rund 12.000 Geräte / ~1,6 Mio. EUR, Jahr 5 über 30.000 Geräte / 5–7 Mio. EUR. Getragen wird der Hochlauf vom Razor-and-Blade-Modell aus Geräteverkauf (~90 EUR) und wiederkehrendem Abo (~9,90 EUR/Monat), das mit jeder aktiven Cohort planbar wächst.</w:t>
      </w:r>
    </w:p>
    <w:p>
      <w:pPr>
        <w:pStyle w:val="Heading2"/>
      </w:pPr>
      <w:r>
        <w:t>2. Unternehmen &amp; Team</w:t>
      </w:r>
    </w:p>
    <w:p>
      <w:pPr>
        <w:pStyle w:val="Heading3"/>
      </w:pPr>
      <w:r>
        <w:t>2.1. Rechtsform &amp; Sitz</w:t>
      </w:r>
    </w:p>
    <w:p>
      <w:pPr>
        <w:pStyle w:val="ListBullet"/>
      </w:pPr>
      <w:r>
        <w:rPr>
          <w:b/>
        </w:rPr>
        <w:t>Plappi FlexCo (Flexible Kapitalgesellschaft i.G.)</w:t>
      </w:r>
      <w:r>
        <w:t>, Sitz Esslinggasse 5/Top 1, 1010 Wien.</w:t>
      </w:r>
    </w:p>
    <w:p>
      <w:pPr>
        <w:pStyle w:val="ListBullet"/>
      </w:pPr>
      <w:r>
        <w:t>Die Gründung über FinanzOnline erfolgt zeitnah zur FFG-Vertragsannahme; die Einreichung als „Unternehmen in Gründung" ist der FFG-Standardweg und ändert die Antragslogik nicht.</w:t>
      </w:r>
    </w:p>
    <w:p>
      <w:pPr>
        <w:pStyle w:val="ListBullet"/>
      </w:pPr>
      <w:r>
        <w:rPr>
          <w:b/>
        </w:rPr>
        <w:t>Stammkapital:</w:t>
      </w:r>
      <w:r>
        <w:t xml:space="preserve"> 30.000 EUR (über dem FlexCo-Mindestkapital von 10k, bewusst erhöht zur Vermeidung der „Unternehmen in Schwierigkeiten"-Schwelle — siehe 6.5).</w:t>
      </w:r>
    </w:p>
    <w:p>
      <w:pPr>
        <w:pStyle w:val="ListBullet"/>
      </w:pPr>
      <w:r>
        <w:t xml:space="preserve">BReact hält </w:t>
      </w:r>
      <w:r>
        <w:rPr>
          <w:b/>
        </w:rPr>
        <w:t>keine</w:t>
      </w:r>
      <w:r>
        <w:t xml:space="preserve"> Anteile — Plappi ist gründer-eigen und unabhängig. Die BReact-Kompetenz fließt über den Team-CV und die Patronatserklärung ein, nicht über Anteile; dadurch behält Plappi eine frische 300k-de-minimis-Decke und ein klares „frisches Startup"-Profil.</w:t>
      </w:r>
    </w:p>
    <w:p>
      <w:pPr>
        <w:pStyle w:val="Heading3"/>
      </w:pPr>
      <w:r>
        <w:t>2.2. Gründer &amp; Schlüsselpersonen</w:t>
      </w:r>
    </w:p>
    <w:p>
      <w:pPr>
        <w:spacing w:before="160" w:after="40"/>
      </w:pPr>
      <w:r>
        <w:rPr>
          <w:b/>
          <w:i/>
          <w:color w:val="2E5B9E"/>
          <w:sz w:val="20"/>
        </w:rPr>
        <w:t>Tabelle 1: Gründer &amp; Schlüsselpersonen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1949"/>
        <w:gridCol w:w="1949"/>
        <w:gridCol w:w="1949"/>
        <w:gridCol w:w="1949"/>
        <w:gridCol w:w="1949"/>
      </w:tblGrid>
      <w:tr>
        <w:tc>
          <w:tcPr>
            <w:tcW w:type="dxa" w:w="19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Rolle</w:t>
            </w:r>
          </w:p>
        </w:tc>
        <w:tc>
          <w:tcPr>
            <w:tcW w:type="dxa" w:w="19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Person</w:t>
            </w:r>
          </w:p>
        </w:tc>
        <w:tc>
          <w:tcPr>
            <w:tcW w:type="dxa" w:w="19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Hintergrund</w:t>
            </w:r>
          </w:p>
        </w:tc>
        <w:tc>
          <w:tcPr>
            <w:tcW w:type="dxa" w:w="19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PM/J</w:t>
            </w:r>
          </w:p>
        </w:tc>
        <w:tc>
          <w:tcPr>
            <w:tcW w:type="dxa" w:w="19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Stundenbasis</w:t>
            </w:r>
          </w:p>
        </w:tc>
      </w:tr>
      <w:tr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GF / Projektleitung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Nemanja Klincov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KI/ML, BReact-Gründer (EU-Tender-/AI-Track), 100 % Gesellschafter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~10,5 PM/J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FFG-Pauschalsatz 50 €/h, 1.500 h/J = 75k/J</w:t>
            </w:r>
          </w:p>
        </w:tc>
      </w:tr>
      <w:tr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Senior AI/Speech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N.N.1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ML/ASR/TTS-Erfahrung, Modell-Finetuning, Open-Source-LLM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12 PM/J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~80 €/h Plansatz</w:t>
            </w:r>
          </w:p>
        </w:tc>
      </w:tr>
      <w:tr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Embedded / Inferenz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N.N.2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Embedded-Linux, Fernfeld-Audio, On-Device-/Edge-Inferenz, BLE/WiFi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12 PM/J (J1), ~10 PM (J2)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~65 €/h Plansatz</w:t>
            </w:r>
          </w:p>
        </w:tc>
      </w:tr>
      <w:tr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Speech-Data / ML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N.N.4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mehrsprachige Kinder-Sprachdaten (Aufbau/Kuratierung), Modell-Finetuning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12 PM/J (J1), ~10 PM (J2)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Plansatz; J1 100k / J2 80k</w:t>
            </w:r>
          </w:p>
        </w:tc>
      </w:tr>
      <w:tr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Daten / Pädagogik-Engineer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N.N.3 (ab J2)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adaptive Pädagogik-Engine, A/B-Wirksamkeitstests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12 PM (J2)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~60 €/h Plansatz</w:t>
            </w:r>
          </w:p>
        </w:tc>
      </w:tr>
    </w:tbl>
    <w:p>
      <w:pPr>
        <w:spacing w:after="80"/>
      </w:pPr>
    </w:p>
    <w:p>
      <w:r>
        <w:t>Damit schafft das Projekt vier neu geschaffene, hochqualifizierte F&amp;E-Arbeitsplätze in Wien. CVs sind bei Einreichung keine Pflicht (Kostenleitfaden 3.2); die Soll-Profile sind im Antrag dokumentiert und werden auf Verlangen (Endabrechnung) nachgereicht. Der Gründer-CV liegt der Einreichung als Pflicht-Anhang bei.</w:t>
      </w:r>
    </w:p>
    <w:p>
      <w:pPr>
        <w:pStyle w:val="Heading3"/>
      </w:pPr>
      <w:r>
        <w:t>2.3. Beirats- und Mentoren-Andockung</w:t>
      </w:r>
    </w:p>
    <w:p>
      <w:pPr>
        <w:pStyle w:val="ListBullet"/>
      </w:pPr>
      <w:r>
        <w:rPr>
          <w:b/>
        </w:rPr>
        <w:t>Fraunhofer (Bereich KI4LIFE):</w:t>
      </w:r>
      <w:r>
        <w:t xml:space="preserve"> Optionsanker für eine Forschungskooperation, derzeit in Abstimmung mit Entscheidung in den kommenden Wochen. Bei Zustandekommen übernimmt Fraunhofer ein eigenes Arbeitspaket (Methodik der Kinder-ASR sowie Evaluierung der Lernwirksamkeit) und hebt die FFG-Förderquote auf 60 % (Upgrade-Pfad C, ~+260k Förderung, nicht-verwässernd).</w:t>
      </w:r>
    </w:p>
    <w:p>
      <w:pPr>
        <w:pStyle w:val="ListBullet"/>
      </w:pPr>
      <w:r>
        <w:t>Ein fachlicher Beirat (Pädagogik/Linguistik) befindet sich für die Markteintrittsphase im Aufbau.</w:t>
      </w:r>
    </w:p>
    <w:p>
      <w:pPr>
        <w:pStyle w:val="Heading3"/>
      </w:pPr>
      <w:r>
        <w:t>2.4. Org-Plan über 24 Monate</w:t>
      </w:r>
    </w:p>
    <w:p>
      <w:pPr>
        <w:spacing w:before="160" w:after="40"/>
      </w:pPr>
      <w:r>
        <w:rPr>
          <w:b/>
          <w:i/>
          <w:color w:val="2E5B9E"/>
          <w:sz w:val="20"/>
        </w:rPr>
        <w:t>Tabelle 2: Org-Plan über 24 Monate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3249"/>
        <w:gridCol w:w="3249"/>
        <w:gridCol w:w="3249"/>
      </w:tblGrid>
      <w:tr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Monat</w:t>
            </w:r>
          </w:p>
        </w:tc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Team</w:t>
            </w:r>
          </w:p>
        </w:tc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Anlässe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M0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GF + N.N.1 (Hire M1) + N.N.2 (Hire M2) + N.N.4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Kick-off, Datenstrategie, HW-Architektur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M3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F&amp;E-Kernteam etabliert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erste ASR-Finetuning-Iteration, Hardware-Spec freigegeben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M12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Kernteam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Meilenstein J1, Vor-Prototyp HW + KI-Stack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M13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+ N.N.3 Daten/Pädagogik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Datenkuration ramp-up, A/B-Wirksamkeits-Setup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M18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4 F&amp;E-Stellen + GF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Speech-to-Speech-Evaluierung, Zertifizierungs-Vorbereitung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M24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4 F&amp;E-Stellen + GF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validierter Prototyp, Zertifizierungs-Testlauf, Übergabe in die Verwertung</w:t>
            </w:r>
          </w:p>
        </w:tc>
      </w:tr>
    </w:tbl>
    <w:p>
      <w:pPr>
        <w:spacing w:after="80"/>
      </w:pPr>
    </w:p>
    <w:p>
      <w:pPr>
        <w:pStyle w:val="Heading2"/>
      </w:pPr>
      <w:r>
        <w:t>3. Produkt &amp; USP</w:t>
      </w:r>
    </w:p>
    <w:p>
      <w:r>
        <w:rPr>
          <w:b/>
        </w:rPr>
        <w:t>Plappi</w:t>
      </w:r>
      <w:r>
        <w:t xml:space="preserve"> ist ein displayloser </w:t>
      </w:r>
      <w:r>
        <w:rPr>
          <w:b/>
        </w:rPr>
        <w:t>und kameraloser</w:t>
      </w:r>
      <w:r>
        <w:t xml:space="preserve"> KI-Hardware-Lernbegleiter mit Fernfeld-Mikrofonarray, eingebetteter Recheneinheit/Konnektivität und begleitendem Eltern-Dashboard. Das Gerät kommuniziert ausschließlich über Sprache — es hat bewusst weder Bildschirm noch Kamera, weder einen Screen, der die Aufmerksamkeit des Kindes fesselt, noch ein optisches Sensorik-Element, das ins Kinderzimmer blickt.</w:t>
      </w:r>
    </w:p>
    <w:p>
      <w:pPr>
        <w:spacing w:before="120" w:after="40"/>
        <w:jc w:val="center"/>
      </w:pPr>
      <w:r>
        <w:drawing>
          <wp:inline xmlns:a="http://schemas.openxmlformats.org/drawingml/2006/main" xmlns:pic="http://schemas.openxmlformats.org/drawingml/2006/picture">
            <wp:extent cx="4680000" cy="46800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2_lifestyl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i/>
          <w:color w:val="595959"/>
          <w:sz w:val="18"/>
        </w:rPr>
        <w:t>Abbildung 1: Plappi im familiären Anwendungskontext — bildschirm- und kameralose, rein sprachgesteuerte Interaktion</w:t>
      </w:r>
    </w:p>
    <w:p>
      <w:r>
        <w:rPr>
          <w:b/>
        </w:rPr>
        <w:t>Vier Innovationssäulen (FFG-F&amp;E-Kern, konsistent mit inhaltliche_NEU.docx 1.1):</w:t>
      </w:r>
    </w:p>
    <w:p>
      <w:pPr>
        <w:pStyle w:val="ListNumber"/>
      </w:pPr>
      <w:r>
        <w:rPr>
          <w:b/>
        </w:rPr>
        <w:t>Mehrsprachige Kinder-Spracherkennung</w:t>
      </w:r>
      <w:r>
        <w:t xml:space="preserve"> (ASR/TTS) für die Altersspanne 2–15 inkl. Echtzeit-Code-Switching. Zielwert: </w:t>
      </w:r>
      <w:r>
        <w:rPr>
          <w:b/>
        </w:rPr>
        <w:t>relative WER-Reduktion ≥ 30 % gegenüber einer generischen Open-Source-Baseline</w:t>
      </w:r>
      <w:r>
        <w:t xml:space="preserve"> auf einem kindgerecht-mehrsprachigen Evaluationsset.</w:t>
      </w:r>
    </w:p>
    <w:p>
      <w:pPr>
        <w:pStyle w:val="ListNumber"/>
      </w:pPr>
      <w:r>
        <w:rPr>
          <w:b/>
        </w:rPr>
        <w:t>Private EU-Inferenz</w:t>
      </w:r>
      <w:r>
        <w:t xml:space="preserve"> auf quelloffenen Modellen mit architektonischem Trainingsausschluss kindlicher Daten — DSGVO- und EU-AI-Act-konform „by design".</w:t>
      </w:r>
    </w:p>
    <w:p>
      <w:pPr>
        <w:pStyle w:val="ListNumber"/>
      </w:pPr>
      <w:r>
        <w:rPr>
          <w:b/>
        </w:rPr>
        <w:t>Adaptive, wissenschaftlich fundierte Pädagogik-Engine</w:t>
      </w:r>
      <w:r>
        <w:t xml:space="preserve"> (Spaced Repetition, Kognaten-Nutzung, Personalisierung, altersgerechte Progression). Zielwert: </w:t>
      </w:r>
      <w:r>
        <w:rPr>
          <w:b/>
        </w:rPr>
        <w:t>≥ 20 % höhere 7-Tage-Wortschatz-Retention</w:t>
      </w:r>
      <w:r>
        <w:t xml:space="preserve"> gegenüber passiver Audio-Baseline.</w:t>
      </w:r>
    </w:p>
    <w:p>
      <w:pPr>
        <w:pStyle w:val="ListNumber"/>
      </w:pPr>
      <w:r>
        <w:rPr>
          <w:b/>
        </w:rPr>
        <w:t>End-to-End-Speech-to-Speech-Dialog</w:t>
      </w:r>
      <w:r>
        <w:t xml:space="preserve"> als Weiterentwicklung der kaskadierten ASR→LLM→TTS-Pipeline — eigenes Arbeitspaket mit vergleichender Evaluierung gegen die kaskadierte Baseline (Latenz, Prosodie, kindgerechte Erkennungsqualität).</w:t>
      </w:r>
    </w:p>
    <w:p>
      <w:r>
        <w:rPr>
          <w:b/>
        </w:rPr>
        <w:t>Querschnittsthema Safety:</w:t>
      </w:r>
      <w:r>
        <w:t xml:space="preserve"> Eine mehrschichtige, altersdifferenzierte Output-Sicherheits-Architektur (Guardrails) ist eigenständiges Forschungs- und Designziel des KI-Stacks (inhaltliche_NEU.docx 1.6, Risikofeld 5) — Prompt-Hardening, Constrained Decoding, Output-Klassifizierer, deterministische Antwort-Templates für sensible Themen und Red-Teaming mit Kinderschutz-Expert:innen.</w:t>
      </w:r>
    </w:p>
    <w:p>
      <w:pPr>
        <w:spacing w:before="120" w:after="40"/>
        <w:jc w:val="center"/>
      </w:pPr>
      <w:r>
        <w:drawing>
          <wp:inline xmlns:a="http://schemas.openxmlformats.org/drawingml/2006/main" xmlns:pic="http://schemas.openxmlformats.org/drawingml/2006/picture">
            <wp:extent cx="4680000" cy="46800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1_montessori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i/>
          <w:color w:val="595959"/>
          <w:sz w:val="18"/>
        </w:rPr>
        <w:t>Abbildung 2: Kindgerechtes, bildschirm- und kameraloses Lernen im Sinne reformpädagogischer Prinzipien</w:t>
      </w:r>
    </w:p>
    <w:p>
      <w:r>
        <w:rPr>
          <w:b/>
        </w:rPr>
        <w:t>Datenschutz als zentrales Verkaufsargument.</w:t>
      </w:r>
      <w:r>
        <w:t xml:space="preserve"> Plappis Privatsphäre-USP ist doppelt verankert und in dieser Kombination am Markt einzigartig: </w:t>
      </w:r>
      <w:r>
        <w:rPr>
          <w:b/>
        </w:rPr>
        <w:t>kein Bildschirm und keine Kamera</w:t>
      </w:r>
      <w:r>
        <w:t xml:space="preserve"> auf der Geräteseite, private EU-Inferenz mit Trainingsausschluss auf der Datenseite. Während Apps Bildschirmzeit und Cloud-Daten-Sharing mitbringen und Smart Speaker zunehmend mit Kameras ausgestattet werden, blickt und filmt Plappi prinzipiell nicht — es hört nur zu, verarbeitet ausschließlich in der EU und gibt keine kindlichen Sprachdaten ins Modelltraining. Eltern erhalten über ein datenschutzkonformes Eltern-Dashboard transparente Einblicke in den Lernfortschritt, ohne dass Sprachaufzeichnungen übertragen werden.</w:t>
      </w:r>
    </w:p>
    <w:p>
      <w:pPr>
        <w:spacing w:before="120" w:after="40"/>
        <w:jc w:val="center"/>
      </w:pPr>
      <w:r>
        <w:drawing>
          <wp:inline xmlns:a="http://schemas.openxmlformats.org/drawingml/2006/main" xmlns:pic="http://schemas.openxmlformats.org/drawingml/2006/picture">
            <wp:extent cx="3600000" cy="456206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angpal1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5620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i/>
          <w:color w:val="595959"/>
          <w:sz w:val="18"/>
        </w:rPr>
        <w:t>Abbildung 3: Produktdesign von Plappi — bewusst ohne Bildschirm und ohne Kamera, rein sprachgesteuerte Interaktion (Designstudie)</w:t>
      </w:r>
    </w:p>
    <w:p>
      <w:r>
        <w:rPr>
          <w:b/>
        </w:rPr>
        <w:t>Schutzstrategie.</w:t>
      </w:r>
      <w:r>
        <w:t xml:space="preserve"> Der Schutz erfolgt mehrschichtig: Wortmarken-Schutz „Plappi" (über aws Innovationsschutz); proprietäre, auf Kinderstimmen feinabgestimmte ASR/TTS-Modelle und kuratierte mehrsprachige Datensätze als technologischer Burggraben mit Lead-Time-Vorteil; Geschäftsgeheimnis-Schutz für Modelle, Trainingsrezepte und die Guardrail-Architektur; sowie Datensouveränität als reputatives Vertrauens-Asset. Patente werden vorerst bewusst nicht angestrebt, da die Innovation überwiegend in Software, Modellen, Daten und Systemintegration liegt — dort bieten Lead-Time, Marke und Geschäftsgeheimnis den wirtschaftlich überlegenen Schutz.</w:t>
      </w:r>
    </w:p>
    <w:p>
      <w:pPr>
        <w:pStyle w:val="Heading2"/>
      </w:pPr>
      <w:r>
        <w:t>4. Markt, Wettbewerb, Verwertung</w:t>
      </w:r>
    </w:p>
    <w:p>
      <w:pPr>
        <w:pStyle w:val="Heading3"/>
      </w:pPr>
      <w:r>
        <w:t>4.1. Marktdefinition &amp; -größe</w:t>
      </w:r>
    </w:p>
    <w:p>
      <w:pPr>
        <w:pStyle w:val="ListBullet"/>
      </w:pPr>
      <w:r>
        <w:rPr>
          <w:b/>
        </w:rPr>
        <w:t>Zielmarkt:</w:t>
      </w:r>
      <w:r>
        <w:t xml:space="preserve"> Schnittbereich aus EdTech-Sprachlernen, bildschirm- und kameralosem Audio-Kinderprodukt und datensouveräner Consumer-KI-Hardware.</w:t>
      </w:r>
    </w:p>
    <w:p>
      <w:pPr>
        <w:pStyle w:val="ListBullet"/>
      </w:pPr>
      <w:r>
        <w:rPr>
          <w:b/>
        </w:rPr>
        <w:t>EU-Basis:</w:t>
      </w:r>
      <w:r>
        <w:t xml:space="preserve"> rund 65,6 Mio. Kinder (0–14 J.) (Eurostat 2024); 89,4 % der Oberstufenschüler lernen Englisch als Fremdsprache.</w:t>
      </w:r>
    </w:p>
    <w:p>
      <w:pPr>
        <w:pStyle w:val="ListBullet"/>
      </w:pPr>
      <w:r>
        <w:rPr>
          <w:b/>
        </w:rPr>
        <w:t>Marktgröße:</w:t>
      </w:r>
      <w:r>
        <w:t xml:space="preserve"> EdTech-Sprachlernmarkt rund USD 11,7 Mrd. (2024), CAGR ~27 % (market.us).</w:t>
      </w:r>
    </w:p>
    <w:p>
      <w:pPr>
        <w:pStyle w:val="ListBullet"/>
      </w:pPr>
      <w:r>
        <w:rPr>
          <w:b/>
        </w:rPr>
        <w:t>Validierung der Audio-Toy-Vertikale:</w:t>
      </w:r>
      <w:r>
        <w:t xml:space="preserve"> tonies SE FY2024 ~480 Mio. EUR Umsatz, &gt; 8 Mio. Tonieboxen, &gt; 100 Mio. Figuren — Beleg für Zahlungsbereitschaft und Skalierbarkeit des bildschirmfreien Kinder-Audio-Markts.</w:t>
      </w:r>
    </w:p>
    <w:p>
      <w:pPr>
        <w:pStyle w:val="ListBullet"/>
      </w:pPr>
      <w:r>
        <w:rPr>
          <w:b/>
        </w:rPr>
        <w:t>Ergänzender Indikator-TAM (B2B):</w:t>
      </w:r>
      <w:r>
        <w:t xml:space="preserve"> rund 25 Mio. Primarschüler:innen in der EU, davon rund 84 % mit Fremdsprachenunterricht (Eurostat) — indikative Größenordnung der schulischen Verwertungsschiene (Curricular-Sync / „Hausaufgaben-Modus").</w:t>
      </w:r>
    </w:p>
    <w:p>
      <w:pPr>
        <w:pStyle w:val="Heading3"/>
      </w:pPr>
      <w:r>
        <w:t>4.2. Wettbewerb (konsistent mit Antrag 3.2)</w:t>
      </w:r>
    </w:p>
    <w:p>
      <w:pPr>
        <w:spacing w:before="160" w:after="40"/>
      </w:pPr>
      <w:r>
        <w:rPr>
          <w:b/>
          <w:i/>
          <w:color w:val="2E5B9E"/>
          <w:sz w:val="20"/>
        </w:rPr>
        <w:t>Tabelle 3: Wettbewerbsübersicht (Lücke = Plappi-USP)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3249"/>
        <w:gridCol w:w="3249"/>
        <w:gridCol w:w="3249"/>
      </w:tblGrid>
      <w:tr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Kategorie</w:t>
            </w:r>
          </w:p>
        </w:tc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Beispiele</w:t>
            </w:r>
          </w:p>
        </w:tc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Lücke (= Plappi-USP)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Audio-Lernspielzeug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tonies, tiptoi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einsprachig, passiv, nicht-adaptiv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Sprachlern-Apps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Duolingo, Lingokids, Gus on the Go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bildschirmgebunden, Public-Cloud-LLM, Daten-Sharing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Smart Speaker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Alexa, Google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nicht kindzentriert, nicht pädagogisch, cloud-/kameragetrieben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Plappi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—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bildschirm- UND kameralos + mehrsprachig-aktiv + privat EU + adaptiv</w:t>
            </w:r>
          </w:p>
        </w:tc>
      </w:tr>
    </w:tbl>
    <w:p>
      <w:pPr>
        <w:spacing w:after="80"/>
      </w:pPr>
    </w:p>
    <w:p>
      <w:pPr>
        <w:spacing w:before="120" w:after="40"/>
        <w:jc w:val="center"/>
      </w:pPr>
      <w:r>
        <w:drawing>
          <wp:inline xmlns:a="http://schemas.openxmlformats.org/drawingml/2006/main" xmlns:pic="http://schemas.openxmlformats.org/drawingml/2006/picture">
            <wp:extent cx="4680000" cy="46800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_tonies-vergleich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i/>
          <w:color w:val="595959"/>
          <w:sz w:val="18"/>
        </w:rPr>
        <w:t>Abbildung 4: Marktpositionierung gegenüber bildschirmfreiem Audio-Spielzeug (Referenz Tonies)</w:t>
      </w:r>
    </w:p>
    <w:p>
      <w:r>
        <w:t>Die entscheidende Differenzierung liegt nicht in einer Einzelkomponente, sondern in der bislang nicht existierenden Integration: aktiver mehrsprachiger Dialog (gegen die Passivität des Audio-Spielzeugs), bildschirm- und kameralose Hardware (gegen die Screen-Time- und Kamera-Problematik von Apps und Smart Speakern) sowie private EU-Inferenz mit Trainingsausschluss (gegen das Daten-Sharing der Cloud-Lösungen).</w:t>
      </w:r>
    </w:p>
    <w:p>
      <w:pPr>
        <w:pStyle w:val="Heading3"/>
      </w:pPr>
      <w:r>
        <w:t>4.3. Geographie &amp; Zielgruppen</w:t>
      </w:r>
    </w:p>
    <w:p>
      <w:pPr>
        <w:pStyle w:val="ListBullet"/>
      </w:pPr>
      <w:r>
        <w:rPr>
          <w:b/>
        </w:rPr>
        <w:t>Geographie-Sequenz:</w:t>
      </w:r>
      <w:r>
        <w:t xml:space="preserve"> DACH als Erstmarkt (Kaufkraft, mehrsprachiges Umfeld) → EU-weit → USA (Vorbild Tonies-Skalierung).</w:t>
      </w:r>
    </w:p>
    <w:p>
      <w:pPr>
        <w:pStyle w:val="ListBullet"/>
      </w:pPr>
      <w:r>
        <w:rPr>
          <w:b/>
        </w:rPr>
        <w:t>Primäre Zielgruppe:</w:t>
      </w:r>
      <w:r>
        <w:t xml:space="preserve"> bilinguale/mehrsprachige Familien mit nur einem Muttersprachler je Sprache; bildungsorientierte Eltern, die Bildschirmzeit vermeiden; datenschutzbewusste Eltern, die KI-Produkte ohne Kamera, ohne Bildschirm und ohne Daten-Sharing suchen.</w:t>
      </w:r>
    </w:p>
    <w:p>
      <w:pPr>
        <w:pStyle w:val="ListBullet"/>
      </w:pPr>
      <w:r>
        <w:rPr>
          <w:b/>
        </w:rPr>
        <w:t>Sekundär (B2B):</w:t>
      </w:r>
      <w:r>
        <w:t xml:space="preserve"> Bildungseinrichtungen — Volks-/Grundschulen, Sprachschulen, KiTa-Trägerorganisationen und Sprachförderprogramme, lehrer:innenseitig über Curricular-Sync steuerbar bei vollständigem Schutz kindlicher Sprachdaten.</w:t>
      </w:r>
    </w:p>
    <w:p>
      <w:pPr>
        <w:spacing w:before="120" w:after="40"/>
        <w:jc w:val="center"/>
      </w:pPr>
      <w:r>
        <w:drawing>
          <wp:inline xmlns:a="http://schemas.openxmlformats.org/drawingml/2006/main" xmlns:pic="http://schemas.openxmlformats.org/drawingml/2006/picture">
            <wp:extent cx="4680000" cy="46800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_27-sprache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i/>
          <w:color w:val="595959"/>
          <w:sz w:val="18"/>
        </w:rPr>
        <w:t>Abbildung 5: Geplante Mehrsprachigkeit — aktiver Dialog inkl. Echtzeit-Code-Switching</w:t>
      </w:r>
    </w:p>
    <w:p>
      <w:pPr>
        <w:pStyle w:val="Heading3"/>
      </w:pPr>
      <w:r>
        <w:t>4.4. Preismodell &amp; Geschäftsmodell</w:t>
      </w:r>
    </w:p>
    <w:p>
      <w:pPr>
        <w:pStyle w:val="ListBullet"/>
      </w:pPr>
      <w:r>
        <w:rPr>
          <w:b/>
        </w:rPr>
        <w:t>Gerät:</w:t>
      </w:r>
      <w:r>
        <w:t xml:space="preserve"> ca. 90 EUR (Premium-Segment bildschirmfreier Kinderprodukte, marktüblich im Bereich einer Toniebox).</w:t>
      </w:r>
    </w:p>
    <w:p>
      <w:pPr>
        <w:pStyle w:val="ListBullet"/>
      </w:pPr>
      <w:r>
        <w:rPr>
          <w:b/>
        </w:rPr>
        <w:t>Abo:</w:t>
      </w:r>
      <w:r>
        <w:t xml:space="preserve"> ca. 9,90 EUR/Monat für Content, Updates und private Inferenz.</w:t>
      </w:r>
    </w:p>
    <w:p>
      <w:pPr>
        <w:pStyle w:val="ListBullet"/>
      </w:pPr>
      <w:r>
        <w:rPr>
          <w:b/>
        </w:rPr>
        <w:t>Geschäftsmodell:</w:t>
      </w:r>
      <w:r>
        <w:t xml:space="preserve"> B2C-Hardware plus wiederkehrendes Abo (klassisches Razor-and-Blade-Muster, am Markt durch Tonies validiert, hier um wiederkehrende KI-Dialog-Erlöse erweitert). Marketing und Vertrieb sind nicht Gegenstand des FFG-Projekts, sondern Teil der nachgelagerten Verwertung (siehe Abschnitt 7).</w:t>
      </w:r>
    </w:p>
    <w:p>
      <w:pPr>
        <w:pStyle w:val="Heading3"/>
      </w:pPr>
      <w:r>
        <w:t>4.5. Marktvalidierung</w:t>
      </w:r>
    </w:p>
    <w:p>
      <w:pPr>
        <w:pStyle w:val="ListBullet"/>
      </w:pPr>
      <w:r>
        <w:rPr>
          <w:b/>
        </w:rPr>
        <w:t>Kickstarter-Launch am 24.06.2026 (60-Tage-Kampagne):</w:t>
      </w:r>
      <w:r>
        <w:t xml:space="preserve"> Vorbestellungen als Nachfragebeleg, Vorfinanzierung der Erstcharge und Aufbau einer Backer-Community als Initial-Userbase. Kampagnenziel 115.000 EUR (fix, Kampagne eingereicht); im Finanzierungsmix konservativ mit ~80k netto angesetzt.</w:t>
      </w:r>
    </w:p>
    <w:p>
      <w:pPr>
        <w:pStyle w:val="ListBullet"/>
      </w:pPr>
      <w:r>
        <w:t>Parallel: Aufbau einer Interessenten-/Warteliste als ergänzender Nachfragebeleg.</w:t>
      </w:r>
    </w:p>
    <w:p>
      <w:pPr>
        <w:pStyle w:val="Heading2"/>
      </w:pPr>
      <w:r>
        <w:t>5. Bottom-up Umsatz-Hochlauf (Markteinführung nach Projektende)</w:t>
      </w:r>
    </w:p>
    <w:p>
      <w:pPr>
        <w:pBdr>
          <w:left w:val="single" w:sz="18" w:space="8" w:color="9DB7D6"/>
        </w:pBdr>
        <w:spacing w:before="80" w:after="120"/>
        <w:ind w:left="340"/>
      </w:pPr>
      <w:r>
        <w:rPr>
          <w:i/>
          <w:color w:val="595959"/>
          <w:sz w:val="20"/>
        </w:rPr>
        <w:t>Die Hochlauf-Logik ist bewusst schrittweise und konservativ aufgebaut. Y1 bezeichnet das erste Kalenderjahr nach Projektende (≈ Mt 25–36 ab Projektstart), also die Markteintritts-Phase.</w:t>
      </w:r>
    </w:p>
    <w:p>
      <w:pPr>
        <w:pStyle w:val="Heading3"/>
      </w:pPr>
      <w:r>
        <w:t>5.1. Volumen-Hochlauf</w:t>
      </w:r>
    </w:p>
    <w:p>
      <w:pPr>
        <w:spacing w:before="160" w:after="40"/>
      </w:pPr>
      <w:r>
        <w:rPr>
          <w:b/>
          <w:i/>
          <w:color w:val="2E5B9E"/>
          <w:sz w:val="20"/>
        </w:rPr>
        <w:t>Tabelle 4: Volumen-Hochlauf Y1–Y5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2436"/>
        <w:gridCol w:w="2436"/>
        <w:gridCol w:w="2436"/>
        <w:gridCol w:w="2436"/>
      </w:tblGrid>
      <w:tr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Jahr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Geräte (kumulativ verkauft im Jahr)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aktive Abo-Cohort (Jahresmittel)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Markt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Y1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~2.000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~1.200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Kickstarter-Backers + DACH-Direktvertrieb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Y2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~6.000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~5.000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DACH skaliert + EU-Roll-out-Start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Y3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~12.000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~14.000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EU-breit + US-Pilot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Y4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~20.000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~28.000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EU+US etabliert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Y5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~30.000+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~50.000+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EU+US Scale-up</w:t>
            </w:r>
          </w:p>
        </w:tc>
      </w:tr>
    </w:tbl>
    <w:p>
      <w:pPr>
        <w:spacing w:after="80"/>
      </w:pPr>
    </w:p>
    <w:p>
      <w:pPr>
        <w:pStyle w:val="Heading3"/>
      </w:pPr>
      <w:r>
        <w:t>5.2. Umsatz (€)</w:t>
      </w:r>
    </w:p>
    <w:p>
      <w:pPr>
        <w:spacing w:before="160" w:after="40"/>
      </w:pPr>
      <w:r>
        <w:rPr>
          <w:b/>
          <w:i/>
          <w:color w:val="2E5B9E"/>
          <w:sz w:val="20"/>
        </w:rPr>
        <w:t>Tabelle 5: Umsatz-Hochlauf in EUR (Y1–Y5)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2436"/>
        <w:gridCol w:w="2436"/>
        <w:gridCol w:w="2436"/>
        <w:gridCol w:w="2436"/>
      </w:tblGrid>
      <w:tr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Jahr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Geräteumsatz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Abo-Umsatz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Σ Umsatz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Y1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200.000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~50.000 (Cohort-Build)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~250.000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Y2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600.000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~150.000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~750.000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Y3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1.200.000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~400.000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~1.600.000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Y4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2.000.000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~800.000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~2.800.000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Y5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3.000.000+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2.000.000+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5.000.000–7.000.000</w:t>
            </w:r>
          </w:p>
        </w:tc>
      </w:tr>
    </w:tbl>
    <w:p>
      <w:pPr>
        <w:spacing w:after="80"/>
      </w:pPr>
    </w:p>
    <w:p>
      <w:pPr>
        <w:spacing w:before="12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000" cy="35712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hart_umsatz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571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i/>
          <w:color w:val="595959"/>
          <w:sz w:val="18"/>
        </w:rPr>
        <w:t>Abbildung 6: Umsatz-Hochlauf Y1/Y3/Y5 nach Projektende (Geräte- und Abo-Erlöse)</w:t>
      </w:r>
    </w:p>
    <w:p>
      <w:pPr>
        <w:pStyle w:val="Heading3"/>
      </w:pPr>
      <w:r>
        <w:t>5.3. Stückkosten-Annahmen</w:t>
      </w:r>
    </w:p>
    <w:p>
      <w:pPr>
        <w:pStyle w:val="ListBullet"/>
      </w:pPr>
      <w:r>
        <w:rPr>
          <w:b/>
        </w:rPr>
        <w:t>Hardware-Stückkosten</w:t>
      </w:r>
      <w:r>
        <w:t xml:space="preserve"> (BOM bei Volumen 2–10k): ~25–30 EUR (Audio-DSP, Mikrofonarray, Compute-Modul, Gehäuse, Akku, Verpackung). Der Wegfall von Bildschirm und Kamera senkt sowohl die BOM-Kosten als auch die Komplexität der Zulassung.</w:t>
      </w:r>
    </w:p>
    <w:p>
      <w:pPr>
        <w:pStyle w:val="ListBullet"/>
      </w:pPr>
      <w:r>
        <w:rPr>
          <w:b/>
        </w:rPr>
        <w:t>Logistik/Fulfillment:</w:t>
      </w:r>
      <w:r>
        <w:t xml:space="preserve"> ~10 EUR/Stk.</w:t>
      </w:r>
    </w:p>
    <w:p>
      <w:pPr>
        <w:pStyle w:val="ListBullet"/>
      </w:pPr>
      <w:r>
        <w:rPr>
          <w:b/>
        </w:rPr>
        <w:t>Hardware-Deckungsbeitrag:</w:t>
      </w:r>
      <w:r>
        <w:t xml:space="preserve"> ~60–65 EUR je Gerät bei 90 EUR Endpreis im Direktvertrieb (~30–40 % bei Handelspartnern).</w:t>
      </w:r>
    </w:p>
    <w:p>
      <w:pPr>
        <w:pStyle w:val="ListBullet"/>
      </w:pPr>
      <w:r>
        <w:rPr>
          <w:b/>
        </w:rPr>
        <w:t>Abo-Marge:</w:t>
      </w:r>
      <w:r>
        <w:t xml:space="preserve"> ~70 % (private EU-Inferenz mit Quantisierung/Caching/Batching auf gemieteter GPU-Infrastruktur; Compute-Kosten ~25–30 EUR/Cohort-Jahr bei 9,90 EUR/Monat ARPU).</w:t>
      </w:r>
    </w:p>
    <w:p>
      <w:pPr>
        <w:pStyle w:val="ListBullet"/>
      </w:pPr>
      <w:r>
        <w:rPr>
          <w:b/>
        </w:rPr>
        <w:t>Inferenz-Skalen-Effekt:</w:t>
      </w:r>
      <w:r>
        <w:t xml:space="preserve"> Compute-Kosten je Nutzer sinken mit wachsender Cohort-Größe (Batching).</w:t>
      </w:r>
    </w:p>
    <w:p>
      <w:pPr>
        <w:pStyle w:val="Heading2"/>
      </w:pPr>
      <w:r>
        <w:t>6. Finanzplan (Plan-GuV, Cashflow, Bilanz)</w:t>
      </w:r>
    </w:p>
    <w:p>
      <w:pPr>
        <w:pStyle w:val="Heading3"/>
      </w:pPr>
      <w:r>
        <w:t>6.1. Plan-GuV 3 Jahre (vereinfacht, in EUR)</w:t>
      </w:r>
    </w:p>
    <w:p>
      <w:pPr>
        <w:pBdr>
          <w:left w:val="single" w:sz="18" w:space="8" w:color="9DB7D6"/>
        </w:pBdr>
        <w:spacing w:before="80" w:after="120"/>
        <w:ind w:left="340"/>
      </w:pPr>
      <w:r>
        <w:rPr>
          <w:i/>
          <w:color w:val="595959"/>
          <w:sz w:val="20"/>
        </w:rPr>
        <w:t>Y1 / Y2 = die beiden FFG-Forschungsjahre (Mt 1–12 / 13–24). Y3 = erstes Verwertungsjahr nach Projektende. Die FFG-Erstattung wird als sonstiger Ertrag ausgewiesen (Bilanzierungsschema final mit dem Steuerberater abgestimmt).</w:t>
      </w:r>
    </w:p>
    <w:p>
      <w:pPr>
        <w:spacing w:before="160" w:after="40"/>
      </w:pPr>
      <w:r>
        <w:rPr>
          <w:b/>
          <w:i/>
          <w:color w:val="2E5B9E"/>
          <w:sz w:val="20"/>
        </w:rPr>
        <w:t>Tabelle 6: Plan-GuV über drei Jahre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2436"/>
        <w:gridCol w:w="2436"/>
        <w:gridCol w:w="2436"/>
        <w:gridCol w:w="2436"/>
      </w:tblGrid>
      <w:tr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Position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Y1 (Forschungsjahr 1)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Y2 (Forschungsjahr 2)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Y3 (Markteintritt)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Umsatzerlöse (Hardware + Abo)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~250.000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Sonstige Erträge (FFG-Förderung anteilig erfasst)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~335.000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~335.000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0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Σ Erträge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~335.000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~335.000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~250.000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Materialaufwand / COGS (Hardware-BOM + Compute)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~85.000 (≈ 2k×35 + 10k Compute)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Personalaufwand inkl. GKZ 20 % (GF + 4 F&amp;E-Stellen, WP-Split)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~548.000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~594.000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~250.000 (reduziertes F&amp;E + Vertrieb-Anlauf)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Sachaufwand inkl. GKZ 20 % (Compute, Lizenzen; HW separat via aws)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~132.000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~108.000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~50.000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Drittleistungen (externe ASR-Trainingsdaten; Zertifizierung separat via Wirtschaftsagentur Wien)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~65.000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~41.000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~30.000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Marketing/Vertrieb (nach Projektende)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~80.000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Σ Aufwand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~745.000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~743.000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~495.000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EBITDA / Jahresergebnis vor Steuern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~−410.000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~−408.000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~−245.000</w:t>
            </w:r>
          </w:p>
        </w:tc>
      </w:tr>
    </w:tbl>
    <w:p>
      <w:pPr>
        <w:spacing w:after="80"/>
      </w:pPr>
    </w:p>
    <w:p>
      <w:r>
        <w:rPr>
          <w:b/>
        </w:rPr>
        <w:t>Interpretation.</w:t>
      </w:r>
      <w:r>
        <w:t xml:space="preserve"> Y1 und Y2 sind die planmäßige F&amp;E-Investitionsphase mit erwartbaren Verlusten; diese werden durch die FFG-Förderung (50–60 % der Kosten als Cash) sowie Eigenmittel, Patronat und Kickstarter aufgefangen. Y3 ist der Markthochlauf mit weiterhin negativem Ergebnis (typisch für ein Hardware-Startup); der Break-even wird bei plangemäßem Volumenwachstum in Y4/Y5 erreicht.</w:t>
      </w:r>
    </w:p>
    <w:p>
      <w:pPr>
        <w:pBdr>
          <w:left w:val="single" w:sz="18" w:space="8" w:color="9DB7D6"/>
        </w:pBdr>
        <w:spacing w:before="80" w:after="120"/>
        <w:ind w:left="340"/>
      </w:pPr>
      <w:r>
        <w:rPr>
          <w:b/>
          <w:i/>
          <w:color w:val="595959"/>
          <w:sz w:val="20"/>
        </w:rPr>
        <w:t>Schutz vor „Unternehmen in Schwierigkeiten":</w:t>
      </w:r>
      <w:r>
        <w:rPr>
          <w:i/>
          <w:color w:val="595959"/>
          <w:sz w:val="20"/>
        </w:rPr>
        <w:t xml:space="preserve"> Die FlexCo darf keine Verluste anhäufen, die mehr als 50 % des gezeichneten Stammkapitals aufzehren. Die Mitigations sind in 6.5 dargestellt.</w:t>
      </w:r>
    </w:p>
    <w:p>
      <w:pPr>
        <w:spacing w:before="12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000" cy="38016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hart_guv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0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i/>
          <w:color w:val="595959"/>
          <w:sz w:val="18"/>
        </w:rPr>
        <w:t>Abbildung 7: Plan-GuV über drei Jahre — Ertrags-, Aufwands- und Ergebnisverlauf</w:t>
      </w:r>
    </w:p>
    <w:p>
      <w:pPr>
        <w:pStyle w:val="Heading3"/>
      </w:pPr>
      <w:r>
        <w:t>6.2. Liquiditätsplan / Cashflow 24+12 Monate (vereinfacht, kumulativer Cash)</w:t>
      </w:r>
    </w:p>
    <w:p>
      <w:pPr>
        <w:pBdr>
          <w:left w:val="single" w:sz="18" w:space="8" w:color="9DB7D6"/>
        </w:pBdr>
        <w:spacing w:before="80" w:after="120"/>
        <w:ind w:left="340"/>
      </w:pPr>
      <w:r>
        <w:rPr>
          <w:i/>
          <w:color w:val="595959"/>
          <w:sz w:val="20"/>
        </w:rPr>
        <w:t>Annahmen: FFG-Vertragsannahme Mt 1; Erstrate 50 % = ~335k in Mt 2; Zwischenrate 30 % ~200k in Mt 13 (nach positivem Zwischenbericht); Endrate 20 % ~135k in Mt 26. Kickstarter-Start 24.06.2026 (60-Tage-Kampagne). Das BReact-Patronat ist eine Liquiditätszusage (Abruf bei Bedarf, kein Vorstrecken).</w:t>
      </w:r>
    </w:p>
    <w:p>
      <w:r>
        <w:rPr>
          <w:b/>
        </w:rPr>
        <w:t>Inflows (kumuliert über 36 Mt)</w:t>
      </w:r>
    </w:p>
    <w:p>
      <w:pPr>
        <w:spacing w:before="160" w:after="40"/>
      </w:pPr>
      <w:r>
        <w:rPr>
          <w:b/>
          <w:i/>
          <w:color w:val="2E5B9E"/>
          <w:sz w:val="20"/>
        </w:rPr>
        <w:t>Tabelle 7: Cashflow-Inflows (kumuliert über 36 Monate)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3249"/>
        <w:gridCol w:w="3249"/>
        <w:gridCol w:w="3249"/>
      </w:tblGrid>
      <w:tr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Quelle</w:t>
            </w:r>
          </w:p>
        </w:tc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Betrag</w:t>
            </w:r>
          </w:p>
        </w:tc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Timing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Stammkapital (Bareinlage)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~30.000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Mt 0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Gesellschafterdarlehen (nachrangig)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~98.000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Mt 0–6 (gestaffelt nach Bedarf)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Kickstarter-Erlöse (Ziel 115k, konservativ netto)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~80.000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Start 24.06.2026, 60 Tage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FFG Erstrate (50 %)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~335.000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Mt 2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FFG Zwischenrate (30 %)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~200.000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Mt 13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FFG Endrate (20 %)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~135.000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Mt 26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FFG-Darlehen-Tranchen (Cash, im Mischform-Mix bis 70 %)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~370.000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analog gestaffelt Mt 2/13/26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BReact-Patronat (Abruf nur bei Lücke)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bis 400.000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flexibel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Y3-Umsatz (Markteintritt)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~250.000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Mt 25–36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Σ Inflows ohne Patronat-Abruf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~1.498.000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über 36 Mt</w:t>
            </w:r>
          </w:p>
        </w:tc>
      </w:tr>
    </w:tbl>
    <w:p>
      <w:pPr>
        <w:spacing w:after="80"/>
      </w:pPr>
    </w:p>
    <w:p>
      <w:r>
        <w:rPr>
          <w:b/>
        </w:rPr>
        <w:t>Outflows (kumuliert)</w:t>
      </w:r>
    </w:p>
    <w:p>
      <w:pPr>
        <w:spacing w:before="160" w:after="40"/>
      </w:pPr>
      <w:r>
        <w:rPr>
          <w:b/>
          <w:i/>
          <w:color w:val="2E5B9E"/>
          <w:sz w:val="20"/>
        </w:rPr>
        <w:t>Tabelle 8: Cashflow-Outflows (kumuliert)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1949"/>
        <w:gridCol w:w="1949"/>
        <w:gridCol w:w="1949"/>
        <w:gridCol w:w="1949"/>
        <w:gridCol w:w="1949"/>
      </w:tblGrid>
      <w:tr>
        <w:tc>
          <w:tcPr>
            <w:tcW w:type="dxa" w:w="19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Posten</w:t>
            </w:r>
          </w:p>
        </w:tc>
        <w:tc>
          <w:tcPr>
            <w:tcW w:type="dxa" w:w="19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Y1</w:t>
            </w:r>
          </w:p>
        </w:tc>
        <w:tc>
          <w:tcPr>
            <w:tcW w:type="dxa" w:w="19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Y2</w:t>
            </w:r>
          </w:p>
        </w:tc>
        <w:tc>
          <w:tcPr>
            <w:tcW w:type="dxa" w:w="19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Y3</w:t>
            </w:r>
          </w:p>
        </w:tc>
        <w:tc>
          <w:tcPr>
            <w:tcW w:type="dxa" w:w="19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Σ</w:t>
            </w:r>
          </w:p>
        </w:tc>
      </w:tr>
      <w:tr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Personal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~548k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~594k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~250k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~1.392k</w:t>
            </w:r>
          </w:p>
        </w:tc>
      </w:tr>
      <w:tr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Sach (Compute, Lizenzen; HW separat via aws)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~132k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~108k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~50k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~290k</w:t>
            </w:r>
          </w:p>
        </w:tc>
      </w:tr>
      <w:tr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Dritt (externe ASR-Daten; Zertifizierung separat via Wien)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~65k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~41k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~30k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~136k</w:t>
            </w:r>
          </w:p>
        </w:tc>
      </w:tr>
      <w:tr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COGS Hardware/Logistik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0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0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~85k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~85k</w:t>
            </w:r>
          </w:p>
        </w:tc>
      </w:tr>
      <w:tr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Marketing/Vertrieb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0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0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~80k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sz w:val="19"/>
              </w:rPr>
              <w:t>~80k</w:t>
            </w:r>
          </w:p>
        </w:tc>
      </w:tr>
      <w:tr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Σ Outflows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~745k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~743k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~495k</w:t>
            </w:r>
          </w:p>
        </w:tc>
        <w:tc>
          <w:tcPr>
            <w:tcW w:type="dxa" w:w="1949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~1.983k</w:t>
            </w:r>
          </w:p>
        </w:tc>
      </w:tr>
    </w:tbl>
    <w:p>
      <w:pPr>
        <w:spacing w:after="80"/>
      </w:pPr>
    </w:p>
    <w:p>
      <w:r>
        <w:rPr>
          <w:b/>
        </w:rPr>
        <w:t>Kumulierter Cash-Saldo (vereinfacht, ohne Patronat-Abruf):</w:t>
      </w:r>
    </w:p>
    <w:p>
      <w:pPr>
        <w:spacing w:before="160" w:after="40"/>
      </w:pPr>
      <w:r>
        <w:rPr>
          <w:b/>
          <w:i/>
          <w:color w:val="2E5B9E"/>
          <w:sz w:val="20"/>
        </w:rPr>
        <w:t>Tabelle 9: Kumulierter Cash-Saldo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2436"/>
        <w:gridCol w:w="2436"/>
        <w:gridCol w:w="2436"/>
        <w:gridCol w:w="2436"/>
      </w:tblGrid>
      <w:tr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Monat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kumuliert Inflow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kumuliert Outflow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Saldo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Mt 3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~543k (Stammk + KS + FFG-Erst + Darlehens-Tranche)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~190k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~+350k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Mt 12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~543k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~745k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~−200k *(Patronat-Abruf ~250k schließt die Lücke)*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Mt 13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~778k (Zwischenrate + Tranche)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~745k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~+30k *(Patronat-Rest hält den Puffer)*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Mt 24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~778k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~1.488k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~−710k *(Patronat + FFG-Endrate Mt 26 schließen)*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Mt 26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~1.248k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~1.488k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~−240k *(Patronat 240k aktiv)*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Mt 36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~1.498k + Umsatz 250k = 1.748k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~1.983k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~−235k *(Patronat + Folgeförderung/aws Seed schließen)*</w:t>
            </w:r>
          </w:p>
        </w:tc>
      </w:tr>
    </w:tbl>
    <w:p>
      <w:pPr>
        <w:spacing w:after="80"/>
      </w:pPr>
    </w:p>
    <w:p>
      <w:r>
        <w:rPr>
          <w:b/>
        </w:rPr>
        <w:t>Aussage.</w:t>
      </w:r>
      <w:r>
        <w:t xml:space="preserve"> Die Liquidität ist über 24+12 Monate durch den FFG-Cash-Mix und das BReact-Patronat (Kapazität bis 400k) durchgängig gedeckt. Bei plangemäßer Kickstarter-Performance und dem aws-Seed-Folgeantrag (siehe 7.2) liegt der </w:t>
      </w:r>
      <w:r>
        <w:rPr>
          <w:b/>
        </w:rPr>
        <w:t>reale Eigner-Cash-Bedarf über 24 Monate bei rund 60–100k EUR</w:t>
      </w:r>
      <w:r>
        <w:t xml:space="preserve"> (= 30k Stammkapital + ~70k schrittweises Gesellschafterdarlehen). Der Rest läuft über Förderung, zinsbegünstigtes Darlehen, Patronatszusage und Markteinführung.</w:t>
      </w:r>
    </w:p>
    <w:p>
      <w:pPr>
        <w:spacing w:before="12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000" cy="3452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hart_cashflow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52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i/>
          <w:color w:val="595959"/>
          <w:sz w:val="18"/>
        </w:rPr>
        <w:t>Abbildung 8: Kumulativer Cashflow über 24+12 Monate — Deckung durch FFG-Cash-Mix und Patronat</w:t>
      </w:r>
    </w:p>
    <w:p>
      <w:pPr>
        <w:pStyle w:val="Heading3"/>
      </w:pPr>
      <w:r>
        <w:t>6.3. Eröffnungs-Plan-Bilanz (Mt 0, vereinfacht)</w:t>
      </w:r>
    </w:p>
    <w:p>
      <w:pPr>
        <w:spacing w:before="160" w:after="40"/>
      </w:pPr>
      <w:r>
        <w:rPr>
          <w:b/>
          <w:i/>
          <w:color w:val="2E5B9E"/>
          <w:sz w:val="20"/>
        </w:rPr>
        <w:t>Tabelle 10: Eröffnungs-Plan-Bilanz (Mt 0)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2436"/>
        <w:gridCol w:w="2436"/>
        <w:gridCol w:w="2436"/>
        <w:gridCol w:w="2436"/>
      </w:tblGrid>
      <w:tr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Aktiva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EUR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Passiva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EUR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Bankguthaben (Stammkapital eingezahlt)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30.000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Stammkapital (eingezahlt)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30.000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Σ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30.000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Σ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30.000</w:t>
            </w:r>
          </w:p>
        </w:tc>
      </w:tr>
    </w:tbl>
    <w:p>
      <w:pPr>
        <w:spacing w:after="80"/>
      </w:pPr>
    </w:p>
    <w:p>
      <w:pPr>
        <w:pStyle w:val="Heading3"/>
      </w:pPr>
      <w:r>
        <w:t>6.4. Plan-Bilanz Ende Y1 (vereinfacht)</w:t>
      </w:r>
    </w:p>
    <w:p>
      <w:pPr>
        <w:spacing w:before="160" w:after="40"/>
      </w:pPr>
      <w:r>
        <w:rPr>
          <w:b/>
          <w:i/>
          <w:color w:val="2E5B9E"/>
          <w:sz w:val="20"/>
        </w:rPr>
        <w:t>Tabelle 11: Plan-Bilanz Ende Jahr 1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2436"/>
        <w:gridCol w:w="2436"/>
        <w:gridCol w:w="2436"/>
        <w:gridCol w:w="2436"/>
      </w:tblGrid>
      <w:tr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Aktiva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EUR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Passiva</w:t>
            </w:r>
          </w:p>
        </w:tc>
        <w:tc>
          <w:tcPr>
            <w:tcW w:type="dxa" w:w="2436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EUR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Bank / liquide Mittel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~150.000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Stammkapital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30.000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Sachanlagen (HW-Prototypen, ger. AfA)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~80.000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Kapitalrücklagen (BReact-Patronat als bedingte Verbindlichkeit)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(off-balance bis Abruf)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Aktive Rechnungsabgrenzung (FFG-Vorauszahlungs-Anteil)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~50.000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FFG-Darlehen (Mischform-Anteil, gestaffelt gezogen)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~180.000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</w:p>
        </w:tc>
        <w:tc>
          <w:tcPr>
            <w:tcW w:type="dxa" w:w="2436"/>
          </w:tcPr>
          <w:p>
            <w:pPr>
              <w:spacing w:before="20" w:after="20"/>
            </w:pPr>
            <w:r/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Gesellschafterdarlehen (nachrangig)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~50.000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</w:p>
        </w:tc>
        <w:tc>
          <w:tcPr>
            <w:tcW w:type="dxa" w:w="2436"/>
          </w:tcPr>
          <w:p>
            <w:pPr>
              <w:spacing w:before="20" w:after="20"/>
            </w:pPr>
            <w:r/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Verbindlichkeiten LuL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~20.000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</w:p>
        </w:tc>
        <w:tc>
          <w:tcPr>
            <w:tcW w:type="dxa" w:w="2436"/>
          </w:tcPr>
          <w:p>
            <w:pPr>
              <w:spacing w:before="20" w:after="20"/>
            </w:pPr>
            <w:r/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Jahresfehlbetrag Y1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sz w:val="19"/>
              </w:rPr>
              <w:t>~−410.000 *(durch FFG-Zuschuss-Anteil ~250k gedeckt → bilanzieller Verlust ~−160k netto)*</w:t>
            </w:r>
          </w:p>
        </w:tc>
      </w:tr>
      <w:tr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Σ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~280.000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Σ</w:t>
            </w:r>
          </w:p>
        </w:tc>
        <w:tc>
          <w:tcPr>
            <w:tcW w:type="dxa" w:w="2436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~280.000</w:t>
            </w:r>
          </w:p>
        </w:tc>
      </w:tr>
    </w:tbl>
    <w:p>
      <w:pPr>
        <w:spacing w:after="80"/>
      </w:pPr>
    </w:p>
    <w:p>
      <w:pPr>
        <w:pBdr>
          <w:left w:val="single" w:sz="18" w:space="8" w:color="9DB7D6"/>
        </w:pBdr>
        <w:spacing w:before="80" w:after="120"/>
        <w:ind w:left="340"/>
      </w:pPr>
      <w:r>
        <w:rPr>
          <w:b/>
          <w:i/>
          <w:color w:val="595959"/>
          <w:sz w:val="20"/>
        </w:rPr>
        <w:t>Eigenkapitalquote-Schutz:</w:t>
      </w:r>
      <w:r>
        <w:rPr>
          <w:i/>
          <w:color w:val="595959"/>
          <w:sz w:val="20"/>
        </w:rPr>
        <w:t xml:space="preserve"> Bei Stammkapital 30k und einem Netto-Verlustpuffer von ~160k (nach FFG-Zuschuss-Verrechnung) würden die Verluste 50 % des Stammkapitals überschreiten. Deshalb ist eine </w:t>
      </w:r>
      <w:r>
        <w:rPr>
          <w:b/>
          <w:i/>
          <w:color w:val="595959"/>
          <w:sz w:val="20"/>
        </w:rPr>
        <w:t>Kapitalerhöhung in M12 auf ~90k Stammkapital</w:t>
      </w:r>
      <w:r>
        <w:rPr>
          <w:i/>
          <w:color w:val="595959"/>
          <w:sz w:val="20"/>
        </w:rPr>
        <w:t xml:space="preserve"> (über die Umwandlung von Gesellschafterdarlehen in Eigenkapital bzw. eine zusätzliche Bareinlage) als Pflicht-Maßnahme vorgesehen, um die „Unternehmen in Schwierigkeiten"-Schwelle sicher zu unterschreiten (siehe 6.5).</w:t>
      </w:r>
    </w:p>
    <w:p>
      <w:pPr>
        <w:pStyle w:val="Heading3"/>
      </w:pPr>
      <w:r>
        <w:t>6.5. Schutz vor „Unternehmen in Schwierigkeiten" (AGVO Art. 2 Nr. 18)</w:t>
      </w:r>
    </w:p>
    <w:p>
      <w:r>
        <w:rPr>
          <w:b/>
        </w:rPr>
        <w:t>Risiko:</w:t>
      </w:r>
      <w:r>
        <w:t xml:space="preserve"> Zehrt die FlexCo mehr als 50 % des gezeichneten Stammkapitals durch Verluste auf, wird die Förderung unzulässig.</w:t>
      </w:r>
    </w:p>
    <w:p>
      <w:r>
        <w:rPr>
          <w:b/>
        </w:rPr>
        <w:t>Mitigations:</w:t>
      </w:r>
    </w:p>
    <w:p>
      <w:pPr>
        <w:pStyle w:val="ListNumber"/>
      </w:pPr>
      <w:r>
        <w:rPr>
          <w:b/>
        </w:rPr>
        <w:t>Stammkapital initial 30k</w:t>
      </w:r>
      <w:r>
        <w:t xml:space="preserve"> (statt FlexCo-Minimum 10k) — vermeidet das schnelle Erreichen der Schwelle.</w:t>
      </w:r>
    </w:p>
    <w:p>
      <w:pPr>
        <w:pStyle w:val="ListNumber"/>
      </w:pPr>
      <w:r>
        <w:rPr>
          <w:b/>
        </w:rPr>
        <w:t>Kapitalerhöhung in M12 auf 90k</w:t>
      </w:r>
      <w:r>
        <w:t xml:space="preserve"> über die Umwandlung von Gesellschafterdarlehen in Eigenkapital oder eine Bareinlage; Trigger ist ein kumulierter Verlust nahe der 50-%-Schwelle.</w:t>
      </w:r>
    </w:p>
    <w:p>
      <w:pPr>
        <w:pStyle w:val="ListNumber"/>
      </w:pPr>
      <w:r>
        <w:rPr>
          <w:b/>
        </w:rPr>
        <w:t>FFG-Zuschussanteil als sonstiger Ertrag</w:t>
      </w:r>
      <w:r>
        <w:t xml:space="preserve"> wirkt EBIT-stützend und reduziert den ausgewiesenen Verlust.</w:t>
      </w:r>
    </w:p>
    <w:p>
      <w:pPr>
        <w:pStyle w:val="ListNumber"/>
      </w:pPr>
      <w:r>
        <w:rPr>
          <w:b/>
        </w:rPr>
        <w:t>Patronatserklärung BReact</w:t>
      </w:r>
      <w:r>
        <w:t xml:space="preserve"> (bis 400k) zählt zwar nicht als bilanzielles Eigenkapital, ist für Gutachter aber das klare Signal „Liquidität gesichert".</w:t>
      </w:r>
    </w:p>
    <w:p>
      <w:pPr>
        <w:pStyle w:val="Heading3"/>
      </w:pPr>
      <w:r>
        <w:t>6.6. GF-Stunden-Logik</w:t>
      </w:r>
    </w:p>
    <w:p>
      <w:pPr>
        <w:pStyle w:val="ListBullet"/>
      </w:pPr>
      <w:r>
        <w:t xml:space="preserve">FFG-Pauschalsatz für den GF (100 % Gesellschafter): </w:t>
      </w:r>
      <w:r>
        <w:rPr>
          <w:b/>
        </w:rPr>
        <w:t>50 EUR/h, maximal 1.720 h und maximal 86.000 EUR/Kalenderjahr</w:t>
      </w:r>
      <w:r>
        <w:t xml:space="preserve"> (beide Deckel binden bei 1.720 h).</w:t>
      </w:r>
    </w:p>
    <w:p>
      <w:pPr>
        <w:pStyle w:val="ListBullet"/>
      </w:pPr>
      <w:r>
        <w:t xml:space="preserve">Planansatz: </w:t>
      </w:r>
      <w:r>
        <w:rPr>
          <w:b/>
        </w:rPr>
        <w:t>1.500 h/Jahr × 50 EUR = 75.000 EUR/J</w:t>
      </w:r>
      <w:r>
        <w:t xml:space="preserve"> ≈ 10,5 PM — unter dem Deckel und glaubwürdig neben dem BReact-Engagement.</w:t>
      </w:r>
    </w:p>
    <w:p>
      <w:pPr>
        <w:pStyle w:val="ListBullet"/>
      </w:pPr>
      <w:r>
        <w:t>Die 75k/J sind förderbare Kostenbasis (nicht „unbare Eigenleistung" im engen Sinn). Die FFG fördert die Quote (45 %) als Cash an die FlexCo; der GF muss diesen Anteil nicht auszahlen (keine ESt-Wirkung beim GF nach dem Zuflussprinzip).</w:t>
      </w:r>
    </w:p>
    <w:p>
      <w:pPr>
        <w:pStyle w:val="ListBullet"/>
      </w:pPr>
      <w:r>
        <w:t>Über 24 Monate (= 2 Kalenderjahre) wären bis zu 2 × 86k = 172k möglich; hier konservativ 150k angesetzt.</w:t>
      </w:r>
    </w:p>
    <w:p>
      <w:pPr>
        <w:pStyle w:val="ListBullet"/>
      </w:pPr>
      <w:r>
        <w:t>Nachweis = tagesbezogene Stundenaufzeichnungen (≤ 12h/Tag, mit Tätigkeitsbeschreibung). Ein Gehaltsnachweis ist nicht erforderlich (Kostenleitfaden 3.2 Kap. 2.1).</w:t>
      </w:r>
    </w:p>
    <w:p>
      <w:pPr>
        <w:pStyle w:val="Heading2"/>
      </w:pPr>
      <w:r>
        <w:t>7. Restfinanzierung &amp; Folgekosten (Markteinführung nach Projektende)</w:t>
      </w:r>
    </w:p>
    <w:p>
      <w:pPr>
        <w:pBdr>
          <w:left w:val="single" w:sz="18" w:space="8" w:color="9DB7D6"/>
        </w:pBdr>
        <w:spacing w:before="80" w:after="120"/>
        <w:ind w:left="340"/>
      </w:pPr>
      <w:r>
        <w:rPr>
          <w:i/>
          <w:color w:val="595959"/>
          <w:sz w:val="20"/>
        </w:rPr>
        <w:t>Dieser Abschnitt belegt das zentrale Kriterium-3-Argument: Die Folgekosten der Markteinführung passen zur Unternehmenskraft und zu den eingeplanten Folgeförder-Schienen.</w:t>
      </w:r>
    </w:p>
    <w:p>
      <w:pPr>
        <w:pStyle w:val="Heading3"/>
      </w:pPr>
      <w:r>
        <w:t>7.1. Folgekosten-Posten (Plan, ab Mt 25)</w:t>
      </w:r>
    </w:p>
    <w:p>
      <w:pPr>
        <w:spacing w:before="160" w:after="40"/>
      </w:pPr>
      <w:r>
        <w:rPr>
          <w:b/>
          <w:i/>
          <w:color w:val="2E5B9E"/>
          <w:sz w:val="20"/>
        </w:rPr>
        <w:t>Tabelle 12: Folgekosten-Posten (ab Mt 25)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3249"/>
        <w:gridCol w:w="3249"/>
        <w:gridCol w:w="3249"/>
      </w:tblGrid>
      <w:tr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Posten</w:t>
            </w:r>
          </w:p>
        </w:tc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Plan-Volumen</w:t>
            </w:r>
          </w:p>
        </w:tc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Anlass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Spritzguss-Werkzeug (Hartwerkzeug)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~50–100k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Serienproduktion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MOQ-Erstcharge (Hardware-Produktion 2–5k Stk)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~150–300k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Lager + Erstauslieferung Kickstarter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Zertifizierung-Abschluss (CE/EN71/EN62115/RED/EMC final)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~30–50k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Serienzulassung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Marketing / digitale Akquise / PR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~80–150k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DACH-Launch + Datenschutz-Narrativ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Logistik-Aufbau / Fulfillment-Partner-Onboarding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~30k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DACH+EU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Customer Support (1–2 FTE Aufbau)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~80k/J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After-Sales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Erweiterung Content (Sprach-Roll-out 3→5 Sprachen)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~40k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Markterweiterung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Σ Folgekosten Y3 (Markteinführung)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~500–800k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Mt 25–36</w:t>
            </w:r>
          </w:p>
        </w:tc>
      </w:tr>
    </w:tbl>
    <w:p>
      <w:pPr>
        <w:spacing w:after="80"/>
      </w:pPr>
    </w:p>
    <w:p>
      <w:pPr>
        <w:pStyle w:val="Heading3"/>
      </w:pPr>
      <w:r>
        <w:t>7.2. Folgefinanzierung — wie gedeckt</w:t>
      </w:r>
    </w:p>
    <w:p>
      <w:pPr>
        <w:pStyle w:val="ListNumber"/>
      </w:pPr>
      <w:r>
        <w:rPr>
          <w:b/>
        </w:rPr>
        <w:t>Plappi-Umsatz Y1 (Markteintritt):</w:t>
      </w:r>
      <w:r>
        <w:t xml:space="preserve"> ~250k.</w:t>
      </w:r>
    </w:p>
    <w:p>
      <w:pPr>
        <w:pStyle w:val="ListNumber"/>
      </w:pPr>
      <w:r>
        <w:rPr>
          <w:b/>
        </w:rPr>
        <w:t>Kickstarter-Folgekampagne:</w:t>
      </w:r>
      <w:r>
        <w:t xml:space="preserve"> ggf. ~100–200k zusätzlich (Sprach-Roll-out).</w:t>
      </w:r>
    </w:p>
    <w:p>
      <w:pPr>
        <w:pStyle w:val="ListNumber"/>
      </w:pPr>
      <w:r>
        <w:rPr>
          <w:b/>
        </w:rPr>
        <w:t>aws Seedfinancing Deep Tech:</w:t>
      </w:r>
      <w:r>
        <w:t xml:space="preserve"> Förder-Volumen bis ~889k (1 Mio mit Bonus), Folgestufe zu aws Preseed — primärer Hebel für Markteintritt und Serienproduktion. Antragsfenster Mt 18–22 (parallel zum FFG-Endspurt).</w:t>
      </w:r>
    </w:p>
    <w:p>
      <w:pPr>
        <w:pStyle w:val="ListNumber"/>
      </w:pPr>
      <w:r>
        <w:rPr>
          <w:b/>
        </w:rPr>
        <w:t>aws Garantie 80 %</w:t>
      </w:r>
      <w:r>
        <w:t xml:space="preserve"> des Kreditbetrags — ersetzt fehlende Bank-Sicherheiten für die Vorfinanzierung der MOQ.</w:t>
      </w:r>
    </w:p>
    <w:p>
      <w:pPr>
        <w:pStyle w:val="ListNumber"/>
      </w:pPr>
      <w:r>
        <w:rPr>
          <w:b/>
        </w:rPr>
        <w:t>aws „Eigenkapital hebeln":</w:t>
      </w:r>
      <w:r>
        <w:t xml:space="preserve"> bar eingebrachtes Eigenkapital wird durch den 80-%-aws-garantierten Bankkredit verdoppelt (bis 2,5 Mio) — der stärkste Cash-Hebel für die Skalierung.</w:t>
      </w:r>
    </w:p>
    <w:p>
      <w:pPr>
        <w:pStyle w:val="ListNumber"/>
      </w:pPr>
      <w:r>
        <w:rPr>
          <w:b/>
        </w:rPr>
        <w:t>Wirtschaftsagentur Wien Innovation:</w:t>
      </w:r>
      <w:r>
        <w:t xml:space="preserve"> 45 % bis ~300k auf ein abgrenzbares Markteinführungs-Paket (Zertifizierung, Pilot-Programme).</w:t>
      </w:r>
    </w:p>
    <w:p>
      <w:pPr>
        <w:pStyle w:val="ListNumber"/>
      </w:pPr>
      <w:r>
        <w:rPr>
          <w:b/>
        </w:rPr>
        <w:t>EIC Accelerator (optional):</w:t>
      </w:r>
      <w:r>
        <w:t xml:space="preserve"> Step-1-Kurzantrag bei Skalierungsambition (&gt; 1 Mio Grant + bis 12,5 Mio Equity).</w:t>
      </w:r>
    </w:p>
    <w:p>
      <w:pPr>
        <w:pStyle w:val="ListNumber"/>
      </w:pPr>
      <w:r>
        <w:rPr>
          <w:b/>
        </w:rPr>
        <w:t>BReact-Patronat:</w:t>
      </w:r>
      <w:r>
        <w:t xml:space="preserve"> Restkapazität (~150k nach der FFG-Phase) als Brücken-Liquidität.</w:t>
      </w:r>
    </w:p>
    <w:p>
      <w:r>
        <w:rPr>
          <w:b/>
        </w:rPr>
        <w:t>Aussage.</w:t>
      </w:r>
      <w:r>
        <w:t xml:space="preserve"> Die geplanten Folgekosten von 500–800k sind durch Plappi-Umsatz, aws Seed (Hauptträger), Kickstarter und Wien Innovation deutlich überdeckt. Plappi ist damit auf kein einzelnes Folge-Instrument angewiesen.</w:t>
      </w:r>
    </w:p>
    <w:p>
      <w:pPr>
        <w:pStyle w:val="Heading2"/>
      </w:pPr>
      <w:r>
        <w:t>8. Risiken &amp; Maßnahmen</w:t>
      </w:r>
    </w:p>
    <w:p>
      <w:pPr>
        <w:pBdr>
          <w:left w:val="single" w:sz="18" w:space="8" w:color="9DB7D6"/>
        </w:pBdr>
        <w:spacing w:before="80" w:after="120"/>
        <w:ind w:left="340"/>
      </w:pPr>
      <w:r>
        <w:rPr>
          <w:i/>
          <w:color w:val="595959"/>
          <w:sz w:val="20"/>
        </w:rPr>
        <w:t>Die technischen F&amp;E-Risiken sind in inhaltliche_NEU.docx 1.6 (Risikomatrix) ausführlich abgedeckt. Dieser Abschnitt fokussiert die wirtschaftlichen Risiken.</w:t>
      </w:r>
    </w:p>
    <w:p>
      <w:pPr>
        <w:spacing w:before="160" w:after="40"/>
      </w:pPr>
      <w:r>
        <w:rPr>
          <w:b/>
          <w:i/>
          <w:color w:val="2E5B9E"/>
          <w:sz w:val="20"/>
        </w:rPr>
        <w:t>Tabelle 13: Risiken &amp; Maßnahmen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3249"/>
        <w:gridCol w:w="3249"/>
        <w:gridCol w:w="3249"/>
      </w:tblGrid>
      <w:tr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Risiko</w:t>
            </w:r>
          </w:p>
        </w:tc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Wirkung</w:t>
            </w:r>
          </w:p>
        </w:tc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Mitigation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Kickstarter verfehlt das Alles-oder-Nichts-Ziel (115k) → 0 EUR Auszahlung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Eigenmittel-Lücke + reduzierte Marktvalidierung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Patronat füllt; Pivot-Hebel aws Preseed Deep Tech (267–300k Zuschuss, Vorgründungsfenster) als Alternative; geringere MOQ-Erstcharge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Hardware-Supply-Chain (Chip-/Mikrofon-Verfügbarkeit)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Lieferverzug → Markteintritt verzögert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Dual-Source-Strategie für kritische Komponenten; Industrial-Design mit Second-Source-Footprint; modulare HW-Architektur (durch Verzicht auf Display und Kamera ohnehin reduzierte Komponentenkomplexität)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Adoption langsamer als geplant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Y3/Y4-Umsatz unter Plan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konservative Y1-Cohort, KS-Backers als Brücke; Folgeförderung deckt eine verlängerte Anlaufphase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FFG-Zwischenbericht negativ (kein Trigger Mt 13)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Cash-Lücke 200k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Patronat-Abruf + Gesellschafterdarlehen + Kapitalerhöhung; Anpassung des Arbeitsplans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Kapazitäts-Engpass bei den Hires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F&amp;E-Verzug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externe Speech-Datendienstleister + Embedded-Beratung als Übergangsbrücke; flexibler Hire-Plan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„Unternehmen in Schwierigkeiten" (Stammkapital-Aufzehrung)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Förderung wird unzulässig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Stammkapital 30k initial + planmäßige Kapitalerhöhung M12; FFG-Zuschuss-Anteil als sonstiger Ertrag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EU-AI-Act — Verschärfung der Auflagen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höherer Zertifizierungs-Aufwand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externe Zertifizierungs-Vorbereitung (30k J1, 50k J2) eingeplant; private EU-Inferenz und der Verzicht auf Kamera sind by-design konform</w:t>
            </w:r>
          </w:p>
        </w:tc>
      </w:tr>
    </w:tbl>
    <w:p>
      <w:pPr>
        <w:spacing w:after="80"/>
      </w:pPr>
    </w:p>
    <w:p>
      <w:pPr>
        <w:pStyle w:val="Heading2"/>
      </w:pPr>
      <w:r>
        <w:t>9. Kapitalbedarf &amp; Förder-Stack (Zusammenfassung)</w:t>
      </w:r>
    </w:p>
    <w:p>
      <w:pPr>
        <w:pStyle w:val="Heading3"/>
      </w:pPr>
      <w:r>
        <w:t>9.1. Gesamt-Kapitalbedarf 24 Mt</w:t>
      </w:r>
    </w:p>
    <w:p>
      <w:pPr>
        <w:spacing w:before="160" w:after="40"/>
      </w:pPr>
      <w:r>
        <w:rPr>
          <w:b/>
          <w:i/>
          <w:color w:val="2E5B9E"/>
          <w:sz w:val="20"/>
        </w:rPr>
        <w:t>Tabelle 14: Gesamt-Kapitalbedarf 24 Monate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3249"/>
        <w:gridCol w:w="3249"/>
        <w:gridCol w:w="3249"/>
      </w:tblGrid>
      <w:tr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Quelle</w:t>
            </w:r>
          </w:p>
        </w:tc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Betrag</w:t>
            </w:r>
          </w:p>
        </w:tc>
        <w:tc>
          <w:tcPr>
            <w:tcW w:type="dxa" w:w="3249"/>
            <w:shd w:val="clear" w:color="auto" w:fill="D5E2F0"/>
          </w:tcPr>
          <w:p>
            <w:pPr>
              <w:spacing w:before="20" w:after="20"/>
            </w:pPr>
            <w:r>
              <w:rPr>
                <w:b/>
              </w:rPr>
            </w:r>
            <w:r>
              <w:rPr>
                <w:b/>
                <w:sz w:val="19"/>
              </w:rPr>
              <w:t>Status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FFG Basisprogramm Antrag 71545616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670.000 (Barwert 45 %) / ~1.040.000 Cash (Mischform 70 %)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in Einreichung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davon 50 % FFG-Erstrate sofort (Teilmenge der FFG-Zeile)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~335.000 (Zuschuss) + ~185.000 (Darlehen-Tranche)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bei Vertragsannahme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Eigenmittel / Stammkapital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~90.000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30.000 Gründung, Aufstockung auf 90.000 per Kapitalerhöhung M12 (siehe 6.5)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Gesellschafterdarlehen (nachrangig)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~98.000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gestaffelt 24 Mt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BReact-Patronatserklärung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bis 400.000 (Zusage, Abruf bei Bedarf)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Entwurf liegt vor, Unterzeichnung mit Vertragsannahme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Kickstarter (Ziel 115k)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~80.000 netto (konservativ)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Launch 24.06.2026, 60 Tage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GF-Eigenleistung unbar (Pauschalsatz)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~150.000 (über 2 J, kein Cash)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mit Projektstunden</w:t>
            </w:r>
          </w:p>
        </w:tc>
      </w:tr>
      <w:tr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Σ Finanzierung 24-Mt-Projekt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b/>
                <w:sz w:val="19"/>
              </w:rPr>
              <w:t>~1.488.000</w:t>
            </w:r>
          </w:p>
        </w:tc>
        <w:tc>
          <w:tcPr>
            <w:tcW w:type="dxa" w:w="3249"/>
          </w:tcPr>
          <w:p>
            <w:pPr>
              <w:spacing w:before="20" w:after="20"/>
            </w:pPr>
            <w:r/>
            <w:r>
              <w:rPr>
                <w:sz w:val="19"/>
              </w:rPr>
              <w:t>konsistent mit KOSTENPLAN_B</w:t>
            </w:r>
          </w:p>
        </w:tc>
      </w:tr>
    </w:tbl>
    <w:p>
      <w:pPr>
        <w:spacing w:after="80"/>
      </w:pPr>
    </w:p>
    <w:p>
      <w:pPr>
        <w:spacing w:before="12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000" cy="41472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hart_finanzierung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47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i/>
          <w:color w:val="595959"/>
          <w:sz w:val="18"/>
        </w:rPr>
        <w:t>Abbildung 9: Finanzierungs-Mix / Deckung des Eigenanteils über die Quellen</w:t>
      </w:r>
    </w:p>
    <w:p>
      <w:pPr>
        <w:pStyle w:val="Heading3"/>
      </w:pPr>
      <w:r>
        <w:t>9.2. Backup-Schienen (falls der Primär-Stack schwächelt)</w:t>
      </w:r>
    </w:p>
    <w:p>
      <w:pPr>
        <w:pStyle w:val="ListBullet"/>
      </w:pPr>
      <w:r>
        <w:rPr>
          <w:b/>
        </w:rPr>
        <w:t>aws Preseed Deep Tech:</w:t>
      </w:r>
      <w:r>
        <w:t xml:space="preserve"> bis 267k (300k mit Bonus), 80–90 % nicht-rückzahlbar — Vorgründungsfenster bis 6 Mt nach FlexCo-Eintrag. Hot-Lane bei Kickstarter-Underperformance.</w:t>
      </w:r>
    </w:p>
    <w:p>
      <w:pPr>
        <w:pStyle w:val="ListBullet"/>
      </w:pPr>
      <w:r>
        <w:rPr>
          <w:b/>
        </w:rPr>
        <w:t>aws Seedfinancing Deep Tech:</w:t>
      </w:r>
      <w:r>
        <w:t xml:space="preserve"> bis 889k (1 Mio mit Bonus) — Folgestufe ab Mt 18.</w:t>
      </w:r>
    </w:p>
    <w:p>
      <w:pPr>
        <w:pStyle w:val="ListBullet"/>
      </w:pPr>
      <w:r>
        <w:rPr>
          <w:b/>
        </w:rPr>
        <w:t>aws Garantie 80 %</w:t>
      </w:r>
      <w:r>
        <w:t xml:space="preserve"> + </w:t>
      </w:r>
      <w:r>
        <w:rPr>
          <w:b/>
        </w:rPr>
        <w:t>aws „Eigenkapital hebeln":</w:t>
      </w:r>
      <w:r>
        <w:t xml:space="preserve"> Cash-Verdoppelung.</w:t>
      </w:r>
    </w:p>
    <w:p>
      <w:pPr>
        <w:pStyle w:val="ListBullet"/>
      </w:pPr>
      <w:r>
        <w:rPr>
          <w:b/>
        </w:rPr>
        <w:t>Wirtschaftsagentur Wien Innovation:</w:t>
      </w:r>
      <w:r>
        <w:t xml:space="preserve"> 45 % bis 300k auf ein abgrenzbares Arbeitspaket.</w:t>
      </w:r>
    </w:p>
    <w:p>
      <w:pPr>
        <w:pStyle w:val="ListBullet"/>
      </w:pPr>
      <w:r>
        <w:rPr>
          <w:b/>
        </w:rPr>
        <w:t>C-Pfad (Forschungskooperation Fraunhofer):</w:t>
      </w:r>
      <w:r>
        <w:t xml:space="preserve"> Upgrade auf 60 % FFG-Förderquote → +260k Förderung bei Zustandekommen der Kooperation.</w:t>
      </w:r>
    </w:p>
    <w:p>
      <w:pPr>
        <w:pStyle w:val="Heading2"/>
      </w:pPr>
      <w:r>
        <w:t>10. Anlagen-Referenz</w:t>
      </w:r>
    </w:p>
    <w:p>
      <w:pPr>
        <w:pStyle w:val="ListBullet"/>
      </w:pPr>
      <w:r>
        <w:rPr>
          <w:b/>
        </w:rPr>
        <w:t>KOSTENPLAN_B_24Mt.md</w:t>
      </w:r>
      <w:r>
        <w:t xml:space="preserve"> — detaillierter Kostenplan J1+J2.</w:t>
      </w:r>
    </w:p>
    <w:p>
      <w:pPr>
        <w:pStyle w:val="ListBullet"/>
      </w:pPr>
      <w:r>
        <w:rPr>
          <w:b/>
        </w:rPr>
        <w:t>Kostenplan_24Mt.docx</w:t>
      </w:r>
      <w:r>
        <w:t xml:space="preserve"> — eCall-konformer Kostenplan-Anhang.</w:t>
      </w:r>
    </w:p>
    <w:p>
      <w:pPr>
        <w:pStyle w:val="ListBullet"/>
      </w:pPr>
      <w:r>
        <w:rPr>
          <w:b/>
        </w:rPr>
        <w:t>BReact-Patronatserklaerung_ENTWURF.docx</w:t>
      </w:r>
      <w:r>
        <w:t xml:space="preserve"> — Patronatserklärung (Unterzeichnung mit FFG-Vertragsannahme).</w:t>
      </w:r>
    </w:p>
    <w:p>
      <w:pPr>
        <w:pStyle w:val="ListBullet"/>
      </w:pPr>
      <w:r>
        <w:rPr>
          <w:b/>
        </w:rPr>
        <w:t>FINANZIERUNG_HEBEL.md</w:t>
      </w:r>
      <w:r>
        <w:t xml:space="preserve"> — Detailrecherche zur FFG-Cash-Mechanik und zum aws-Stack.</w:t>
      </w:r>
    </w:p>
    <w:p>
      <w:pPr>
        <w:pStyle w:val="ListBullet"/>
      </w:pPr>
      <w:r>
        <w:rPr>
          <w:b/>
        </w:rPr>
        <w:t>SZENARIEN.md</w:t>
      </w:r>
      <w:r>
        <w:t xml:space="preserve"> — Szenarien-Vergleich A/B/C (Entscheidung: B).</w:t>
      </w:r>
    </w:p>
    <w:p>
      <w:pPr>
        <w:pStyle w:val="ListBullet"/>
      </w:pPr>
      <w:r>
        <w:rPr>
          <w:b/>
        </w:rPr>
        <w:t>inhaltliche_NEU.docx</w:t>
      </w:r>
      <w:r>
        <w:t xml:space="preserve"> — Antragsinhalt (Konsistenz-Referenz).</w:t>
      </w:r>
    </w:p>
    <w:p>
      <w:pPr>
        <w:pStyle w:val="ListBullet"/>
      </w:pPr>
      <w:r>
        <w:rPr>
          <w:b/>
        </w:rPr>
        <w:t>Kickstarter-Pre-Launch-Plan</w:t>
      </w:r>
      <w:r>
        <w:t xml:space="preserve"> — Kampagnen-Dokumentation.</w:t>
      </w:r>
    </w:p>
    <w:p>
      <w:pPr>
        <w:pStyle w:val="ListBullet"/>
      </w:pPr>
      <w:r>
        <w:rPr>
          <w:b/>
        </w:rPr>
        <w:t>Gründer-CV Nemanja Klincov</w:t>
      </w:r>
      <w:r>
        <w:t xml:space="preserve"> — separater Anhang.</w:t>
      </w:r>
    </w:p>
    <w:p>
      <w:pPr>
        <w:pStyle w:val="ListBullet"/>
      </w:pPr>
      <w:r>
        <w:rPr>
          <w:b/>
        </w:rPr>
        <w:t>Bankverbindung Plappi FlexCo</w:t>
      </w:r>
      <w:r>
        <w:t xml:space="preserve"> — nach Gründung beiliegend.</w:t>
      </w:r>
    </w:p>
    <w:p>
      <w:pPr>
        <w:pStyle w:val="ListBullet"/>
      </w:pPr>
      <w:r>
        <w:rPr>
          <w:b/>
        </w:rPr>
        <w:t>Angebote/Leistungsbeschreibungen für Sach-/Dritt-Positionen &gt; 20k EUR</w:t>
      </w:r>
      <w:r>
        <w:t xml:space="preserve"> (GPU-Compute, Hardware, ASR-Daten, Zertifizierung) — Pflicht-Anhänge.</w:t>
      </w:r>
    </w:p>
    <w:sectPr w:rsidR="00FC693F" w:rsidRPr="0006063C" w:rsidSect="00034616">
      <w:footerReference w:type="default" r:id="rId19"/>
      <w:pgSz w:w="12240" w:h="15840"/>
      <w:pgMar w:top="1247" w:right="1247" w:bottom="1134" w:left="12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/>
    <w:r>
      <w:rPr>
        <w:color w:val="595959"/>
        <w:sz w:val="16"/>
      </w:rPr>
      <w:t xml:space="preserve">Seite </w:t>
    </w:r>
    <w:r>
      <w:rPr>
        <w:color w:val="595959"/>
        <w:sz w:val="16"/>
      </w:rPr>
      <w:fldChar w:fldCharType="begin"/>
      <w:instrText xml:space="preserve">PAGE</w:instrText>
      <w:fldChar w:fldCharType="end"/>
    </w:r>
    <w:r>
      <w:rPr>
        <w:color w:val="595959"/>
        <w:sz w:val="16"/>
      </w:rPr>
      <w:t xml:space="preserve">  ·  Plappi · FFG Projektnummer 944442 · vertraulich</w: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20" w:line="276" w:lineRule="auto"/>
    </w:pPr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320" w:after="160"/>
      <w:outlineLvl w:val="0"/>
    </w:pPr>
    <w:rPr>
      <w:rFonts w:asciiTheme="majorHAnsi" w:eastAsiaTheme="majorEastAsia" w:hAnsiTheme="majorHAnsi" w:cstheme="majorBidi" w:ascii="Calibri" w:hAnsi="Calibri"/>
      <w:b/>
      <w:bCs/>
      <w:color w:val="2E5B9E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 w:ascii="Calibri" w:hAnsi="Calibri"/>
      <w:b/>
      <w:bCs/>
      <w:color w:val="2E5B9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80"/>
      <w:outlineLvl w:val="2"/>
    </w:pPr>
    <w:rPr>
      <w:rFonts w:asciiTheme="majorHAnsi" w:eastAsiaTheme="majorEastAsia" w:hAnsiTheme="majorHAnsi" w:cstheme="majorBidi" w:ascii="Calibri" w:hAnsi="Calibri"/>
      <w:b/>
      <w:bCs/>
      <w:color w:val="2E5B9E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e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