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spacing w:after="40"/>
        <w:jc w:val="center"/>
      </w:pPr>
      <w:r>
        <w:rPr>
          <w:b/>
          <w:i w:val="0"/>
          <w:color w:val="1F3864"/>
          <w:sz w:val="60"/>
        </w:rPr>
        <w:t>BUSINESSPLAN</w:t>
      </w:r>
    </w:p>
    <w:p>
      <w:pPr>
        <w:spacing w:after="120"/>
        <w:jc w:val="center"/>
      </w:pPr>
      <w:r>
        <w:rPr>
          <w:b/>
          <w:i w:val="0"/>
          <w:color w:val="2E75B6"/>
          <w:sz w:val="80"/>
        </w:rPr>
        <w:t>Plappi</w:t>
      </w:r>
    </w:p>
    <w:p>
      <w:pPr>
        <w:spacing w:after="480"/>
        <w:jc w:val="center"/>
      </w:pPr>
      <w:r>
        <w:rPr>
          <w:b w:val="0"/>
          <w:i/>
          <w:color w:val="595959"/>
          <w:sz w:val="26"/>
        </w:rPr>
        <w:t>Der bildschirmfreie, mehrsprachige KI-Sprachlernbegleiter für Kinder</w:t>
      </w:r>
    </w:p>
    <w:p>
      <w:pPr>
        <w:pBdr>
          <w:bottom w:val="single" w:sz="6" w:space="1" w:color="2E75B6"/>
        </w:pBdr>
        <w:spacing w:after="80"/>
      </w:pPr>
    </w:p>
    <w:p>
      <w:pPr>
        <w:spacing w:after="40"/>
        <w:jc w:val="center"/>
      </w:pPr>
      <w:r>
        <w:rPr>
          <w:b/>
          <w:i w:val="0"/>
          <w:sz w:val="24"/>
        </w:rPr>
        <w:t>Förderprogramm:  aws Preseed – Deep Tech</w:t>
      </w:r>
    </w:p>
    <w:p>
      <w:pPr>
        <w:spacing w:after="360"/>
        <w:jc w:val="center"/>
      </w:pPr>
      <w:r>
        <w:rPr>
          <w:b w:val="0"/>
          <w:i w:val="0"/>
          <w:color w:val="595959"/>
          <w:sz w:val="22"/>
        </w:rPr>
        <w:t>Austria Wirtschaftsservice GmbH</w:t>
      </w:r>
    </w:p>
    <w:p>
      <w:pPr>
        <w:spacing w:after="40"/>
        <w:jc w:val="center"/>
      </w:pPr>
      <w:r>
        <w:rPr>
          <w:b w:val="0"/>
          <w:i w:val="0"/>
          <w:sz w:val="22"/>
        </w:rPr>
        <w:t>Antragsteller:  Nemanja Klincov (natürliche Person, „in Gründung”)</w:t>
      </w:r>
    </w:p>
    <w:p>
      <w:pPr>
        <w:spacing w:after="40"/>
        <w:jc w:val="center"/>
      </w:pPr>
      <w:r>
        <w:rPr>
          <w:b w:val="0"/>
          <w:i w:val="0"/>
          <w:sz w:val="22"/>
        </w:rPr>
        <w:t>Geplantes Unternehmen:  Plappi FlexCo (i.G.), 1010 Wien</w:t>
      </w:r>
    </w:p>
    <w:p>
      <w:pPr>
        <w:spacing w:after="360"/>
        <w:jc w:val="center"/>
      </w:pPr>
      <w:r>
        <w:rPr>
          <w:b w:val="0"/>
          <w:i w:val="0"/>
          <w:color w:val="595959"/>
          <w:sz w:val="21"/>
        </w:rPr>
        <w:t>Beantragt: ~364.000 EUR förderbare Kosten → 300.000 EUR Zuschuss (Gender-Bonus, Höchstbetrag; effektiv ~82 %); Eigenmittel ~64.000 EUR (~18 %, Cash).</w:t>
      </w:r>
    </w:p>
    <w:p>
      <w:pPr>
        <w:spacing w:after="40"/>
        <w:jc w:val="center"/>
      </w:pPr>
      <w:r>
        <w:rPr>
          <w:b w:val="0"/>
          <w:i/>
          <w:color w:val="595959"/>
          <w:sz w:val="20"/>
        </w:rPr>
        <w:t>Hardware-Arbeitspaket (WP2) — disjunkt von FFG (KI-Kern) und Wirtschaftsagentur Wien (Zertifizierung)</w:t>
      </w:r>
    </w:p>
    <w:p>
      <w:pPr>
        <w:jc w:val="center"/>
      </w:pPr>
      <w:r>
        <w:rPr>
          <w:b w:val="0"/>
          <w:i w:val="0"/>
          <w:color w:val="595959"/>
          <w:sz w:val="20"/>
        </w:rPr>
        <w:t>Stand: 9. Juni 2026</w:t>
      </w:r>
    </w:p>
    <w:p>
      <w:r>
        <w:br w:type="page"/>
      </w:r>
    </w:p>
    <w:p>
      <w:pPr>
        <w:pStyle w:val="Heading1"/>
      </w:pPr>
      <w:r>
        <w:t>Inhaltsverzeichnis</w:t>
      </w:r>
    </w:p>
    <w:p>
      <w:pPr>
        <w:spacing w:after="60"/>
      </w:pPr>
      <w:r>
        <w:rPr>
          <w:sz w:val="22"/>
        </w:rPr>
        <w:t>Executive Summary</w:t>
      </w:r>
    </w:p>
    <w:p>
      <w:pPr>
        <w:spacing w:after="60"/>
      </w:pPr>
      <w:r>
        <w:rPr>
          <w:sz w:val="22"/>
        </w:rPr>
        <w:t>1.  Produkt / Technologie</w:t>
      </w:r>
    </w:p>
    <w:p>
      <w:pPr>
        <w:spacing w:after="60"/>
      </w:pPr>
      <w:r>
        <w:rPr>
          <w:sz w:val="22"/>
        </w:rPr>
        <w:t>2.  Gesellschaftlicher Mehrwert / Impact</w:t>
      </w:r>
    </w:p>
    <w:p>
      <w:pPr>
        <w:spacing w:after="60"/>
      </w:pPr>
      <w:r>
        <w:rPr>
          <w:sz w:val="22"/>
        </w:rPr>
        <w:t>3.  Markt und Wettbewerb</w:t>
      </w:r>
    </w:p>
    <w:p>
      <w:pPr>
        <w:spacing w:after="60"/>
      </w:pPr>
      <w:r>
        <w:rPr>
          <w:sz w:val="22"/>
        </w:rPr>
        <w:t>4.  Marketing und Vertrieb</w:t>
      </w:r>
    </w:p>
    <w:p>
      <w:pPr>
        <w:spacing w:after="60"/>
      </w:pPr>
      <w:r>
        <w:rPr>
          <w:sz w:val="22"/>
        </w:rPr>
        <w:t>5.  Unternehmen und Management</w:t>
      </w:r>
    </w:p>
    <w:p>
      <w:pPr>
        <w:spacing w:after="60"/>
      </w:pPr>
      <w:r>
        <w:rPr>
          <w:sz w:val="22"/>
        </w:rPr>
        <w:t>6.  Status quo und integrale Planung</w:t>
      </w:r>
    </w:p>
    <w:p>
      <w:pPr>
        <w:spacing w:after="60"/>
      </w:pPr>
      <w:r>
        <w:rPr>
          <w:sz w:val="22"/>
        </w:rPr>
        <w:t>7.  Finanz- und Erfolgsplanung</w:t>
      </w:r>
    </w:p>
    <w:p>
      <w:pPr>
        <w:spacing w:after="60"/>
      </w:pPr>
      <w:r>
        <w:rPr>
          <w:sz w:val="22"/>
        </w:rPr>
        <w:t>8.  Risiken und Herausforderungen</w:t>
      </w:r>
    </w:p>
    <w:p>
      <w:pPr>
        <w:spacing w:after="60"/>
      </w:pPr>
      <w:r>
        <w:rPr>
          <w:sz w:val="22"/>
        </w:rPr>
        <w:t>Anhang — Pflicht-Restdokumente und offene Punkte</w:t>
      </w:r>
    </w:p>
    <w:p>
      <w:r>
        <w:br w:type="page"/>
      </w:r>
    </w:p>
    <w:p>
      <w:pPr>
        <w:pStyle w:val="Heading1"/>
      </w:pPr>
      <w:r>
        <w:t>Executive Summary</w:t>
      </w:r>
    </w:p>
    <w:p>
      <w:r>
        <w:rPr>
          <w:b/>
          <w:i w:val="0"/>
        </w:rPr>
        <w:t>Plappi</w:t>
      </w:r>
      <w:r>
        <w:rPr>
          <w:b w:val="0"/>
          <w:i w:val="0"/>
        </w:rPr>
        <w:t xml:space="preserve"> ist ein displayloses, sprachgesteuertes KI-Hardware-Lerngerät für Kinder von 2 bis 15 Jahren, das mehrsprachige Sprachentwicklung durch personalisierte, adaptive Dialoge und Geschichten fördert — vollständig bildschirmfrei und auf einer datenschutzkonformen, privaten Inferenz-Architektur, bei der kindliche Sprachdaten architektonisch vom KI-Training ausgeschlossen sind (DSGVO- und EU-AI-Act-konform „by design”).</w:t>
      </w:r>
    </w:p>
    <w:p>
      <w:r>
        <w:rPr>
          <w:b/>
          <w:i w:val="0"/>
        </w:rPr>
        <w:t>Deep-Tech-Kern.</w:t>
      </w:r>
      <w:r>
        <w:rPr>
          <w:b w:val="0"/>
          <w:i w:val="0"/>
        </w:rPr>
        <w:t xml:space="preserve"> Plappi ist kein App-Wrapper und kein bloßes Fine-tuning eines vorhandenen Modells. Der technologische Vorsprung ruht auf drei eng verzahnten, international neuartigen und technisch riskanten Bausteinen: (a) eine eigene </w:t>
      </w:r>
      <w:r>
        <w:rPr>
          <w:b/>
          <w:i w:val="0"/>
        </w:rPr>
        <w:t>mehrsprachige Kinder-Spracherkennung</w:t>
      </w:r>
      <w:r>
        <w:rPr>
          <w:b w:val="0"/>
          <w:i w:val="0"/>
        </w:rPr>
        <w:t xml:space="preserve"> — Kinderstimmen sind ein international ungelöstes, datenarmes, akustisch hartes ASR-Problem; (b) eine </w:t>
      </w:r>
      <w:r>
        <w:rPr>
          <w:b/>
          <w:i w:val="0"/>
        </w:rPr>
        <w:t>private On-Device-/EU-Inferenz-Architektur</w:t>
      </w:r>
      <w:r>
        <w:rPr>
          <w:b w:val="0"/>
          <w:i w:val="0"/>
        </w:rPr>
        <w:t xml:space="preserve"> quelloffener Modelle mit architektonischem Trainingsausschluss kindlicher Daten; (c) ein </w:t>
      </w:r>
      <w:r>
        <w:rPr>
          <w:b/>
          <w:i w:val="0"/>
        </w:rPr>
        <w:t>Hardware-Software-Co-Design</w:t>
      </w:r>
      <w:r>
        <w:rPr>
          <w:b w:val="0"/>
          <w:i w:val="0"/>
        </w:rPr>
        <w:t xml:space="preserve"> aus Fernfeld-Mikrofonarray, eingebetteter Recheneinheit und KI-Stack. Der Vorsprung wird bewusst </w:t>
      </w:r>
      <w:r>
        <w:rPr>
          <w:b/>
          <w:i w:val="0"/>
        </w:rPr>
        <w:t>nicht über Patente</w:t>
      </w:r>
      <w:r>
        <w:rPr>
          <w:b w:val="0"/>
          <w:i w:val="0"/>
        </w:rPr>
        <w:t>, sondern über Wortmarke, Geschäftsgeheimnis-/Know-how-Schutz und einen datengetriebenen Lead-Time-Burggraben abgesichert (Kapitel 1.4).</w:t>
      </w:r>
    </w:p>
    <w:p>
      <w:r>
        <w:rPr>
          <w:b/>
          <w:i w:val="0"/>
        </w:rPr>
        <w:t>Abgrenzung gegen Doppelförderung.</w:t>
      </w:r>
      <w:r>
        <w:rPr>
          <w:b w:val="0"/>
          <w:i w:val="0"/>
        </w:rPr>
        <w:t xml:space="preserve"> Der vorliegende aws-Antrag betrifft </w:t>
      </w:r>
      <w:r>
        <w:rPr>
          <w:b/>
          <w:i w:val="0"/>
        </w:rPr>
        <w:t>ausschließlich das Hardware-Arbeitspaket</w:t>
      </w:r>
      <w:r>
        <w:rPr>
          <w:b w:val="0"/>
          <w:i w:val="0"/>
        </w:rPr>
        <w:t xml:space="preserve"> (Industriedesign, Elektronik/Mikrofonarray, Firmware, Vorserien-Prototyp, Zertifizierungs-Vorbereitung). Der KI-Software-Forschungskern läuft auf einem disjunkten Arbeitspaket über das </w:t>
      </w:r>
      <w:r>
        <w:rPr>
          <w:b/>
          <w:i w:val="0"/>
        </w:rPr>
        <w:t>FFG-Basisprogramm</w:t>
      </w:r>
      <w:r>
        <w:rPr>
          <w:b w:val="0"/>
          <w:i w:val="0"/>
        </w:rPr>
        <w:t xml:space="preserve"> (Antrag 71545616, eingereicht 2026-06-09); die volle Produktzertifizierung ist für die </w:t>
      </w:r>
      <w:r>
        <w:rPr>
          <w:b/>
          <w:i w:val="0"/>
        </w:rPr>
        <w:t>Wirtschaftsagentur Wien</w:t>
      </w:r>
      <w:r>
        <w:rPr>
          <w:b w:val="0"/>
          <w:i w:val="0"/>
        </w:rPr>
        <w:t xml:space="preserve"> vorgesehen. Keine Position wird doppelt gefördert (Kapitel 6.4).</w:t>
      </w:r>
    </w:p>
    <w:p>
      <w:r>
        <w:rPr>
          <w:b/>
          <w:i w:val="0"/>
        </w:rPr>
        <w:t>Geschäftsmodell.</w:t>
      </w:r>
      <w:r>
        <w:rPr>
          <w:b w:val="0"/>
          <w:i w:val="0"/>
        </w:rPr>
        <w:t xml:space="preserve"> Razor-and-Blade: Gerät zu ~90 EUR plus wiederkehrendes Abo zu ~9,90 EUR/Monat. Hohe Abo-Bruttomarge, international skalierbar (DACH → EU → USA, Vorbild Tonies SE: FY2024 ~480 Mio. EUR Umsatz, &gt;8 Mio. Boxen). Bottom-up-Hochlauf: Jahr 1 ~250.000 EUR → Jahr 3 ~1,6 Mio. EUR → Jahr 5 ~5–7 Mio. EUR.</w:t>
      </w:r>
    </w:p>
    <w:p>
      <w:r>
        <w:rPr>
          <w:b/>
          <w:i w:val="0"/>
        </w:rPr>
        <w:t>Markt.</w:t>
      </w:r>
      <w:r>
        <w:rPr>
          <w:b w:val="0"/>
          <w:i w:val="0"/>
        </w:rPr>
        <w:t xml:space="preserve"> EU ~65,6 Mio. Kinder (0–14 J.); EdTech-Sprachlernmarkt ~11,7 Mrd. USD bei CAGR ~27 %; bildschirmfreier Audio-Lernspielzeug-Massenmarkt durch Tonies validiert. Plappi besetzt die bisher unbesetzte Schnittmenge: bildschirmfrei </w:t>
      </w:r>
      <w:r>
        <w:rPr>
          <w:b/>
          <w:i w:val="0"/>
        </w:rPr>
        <w:t>und</w:t>
      </w:r>
      <w:r>
        <w:rPr>
          <w:b w:val="0"/>
          <w:i w:val="0"/>
        </w:rPr>
        <w:t xml:space="preserve"> mehrsprachig-aktiv </w:t>
      </w:r>
      <w:r>
        <w:rPr>
          <w:b/>
          <w:i w:val="0"/>
        </w:rPr>
        <w:t>und</w:t>
      </w:r>
      <w:r>
        <w:rPr>
          <w:b w:val="0"/>
          <w:i w:val="0"/>
        </w:rPr>
        <w:t xml:space="preserve"> datensouverän.</w:t>
      </w:r>
    </w:p>
    <w:p>
      <w:r>
        <w:rPr>
          <w:b/>
          <w:i w:val="0"/>
        </w:rPr>
        <w:t>Gesellschaftlicher Mehrwert (Bildung).</w:t>
      </w:r>
      <w:r>
        <w:rPr>
          <w:b w:val="0"/>
          <w:i w:val="0"/>
        </w:rPr>
        <w:t xml:space="preserve"> Bildungsgerechtigkeit, Inklusion (Kinder nicht-deutscher Erstsprache, Herkunftssprachen-Erhalt), kindersicher/werbefrei/datenschutzkonform sowie aktive Gender-Bias-Reduktion in der Spracherkennung.</w:t>
      </w:r>
    </w:p>
    <w:p>
      <w:r>
        <w:rPr>
          <w:b/>
          <w:i w:val="0"/>
        </w:rPr>
        <w:t>Team &amp; Status. Das Gründungsteam ist komplementär aufgestellt: Gründer/GF Nemanja Klincov (KI/ML, Technik; einschlägiger Track-Record über BReact) und Mitgründerin/GF Katharina Klincov (Marketing, Vertrieb, Markenaufbau, kaufmännische Leitung; MSc Marketing &amp; Business Management, GF-/Gründungserfahrung; 30 % Geschäftsanteile, vorhabensrelevant qualifiziert – Gender-Bonus). Ein funktionsfähiger, eigenfinanzierter Prototyp ist bereits realisiert (Hardware-/Software-Demonstrator mit bildschirmfreiem Zwei-Wege-Sprachdialog) und de-riskt das Vorhaben erheblich.</w:t>
      </w:r>
      <w:r>
        <w:rPr>
          <w:b w:val="0"/>
          <w:i w:val="0"/>
        </w:rPr>
      </w:r>
      <w:r>
        <w:rPr>
          <w:b/>
          <w:i w:val="0"/>
        </w:rPr>
      </w:r>
      <w:r>
        <w:rPr>
          <w:b w:val="0"/>
          <w:i w:val="0"/>
        </w:rPr>
      </w:r>
    </w:p>
    <w:p>
      <w:r>
        <w:rPr>
          <w:b/>
          <w:i w:val="0"/>
        </w:rPr>
        <w:t>Finanzierung. Förderbare Vorhabenskosten ~364.000 EUR. Mit aktiviertem Gender-Bonus (Mitgründerin/GF Katharina Klincov, 30 % Anteile): Förderintensität 90 %, gedeckelt auf den Höchstbetrag 300.000 EUR → 300.000 EUR nicht rückzahlbarer Zuschuss (effektiv ~82 % der Kosten) zzgl. ~11.000 EUR kostenloser Innovationsberatung. Eigenmittel ~64.000 EUR (~18 %) — über dem 10 %-Minimum, zwingend Cash (keine Eigenleistung), Einzahlung der Gesellschafter aufs Projektkonto. Folgefinanzierung: Kickstarter (24.06.2026, Ziel 115.000 EUR), aws Seedfinancing (nach Gründung), EIC, Eigenkapital.</w:t>
      </w:r>
      <w:r>
        <w:rPr>
          <w:b w:val="0"/>
          <w:i w:val="0"/>
        </w:rPr>
      </w:r>
      <w:r>
        <w:rPr>
          <w:b/>
          <w:i w:val="0"/>
        </w:rPr>
      </w:r>
      <w:r>
        <w:rPr>
          <w:b w:val="0"/>
          <w:i w:val="0"/>
        </w:rPr>
      </w:r>
      <w:r>
        <w:rPr>
          <w:b/>
          <w:i w:val="0"/>
        </w:rPr>
      </w:r>
      <w:r>
        <w:rPr>
          <w:b w:val="0"/>
          <w:i w:val="0"/>
        </w:rPr>
      </w:r>
    </w:p>
    <w:p>
      <w:r>
        <w:br w:type="page"/>
      </w:r>
    </w:p>
    <w:p>
      <w:pPr>
        <w:pStyle w:val="Heading1"/>
      </w:pPr>
      <w:r>
        <w:t>1.  Produkt / Technologie</w:t>
      </w:r>
    </w:p>
    <w:p>
      <w:pPr>
        <w:pStyle w:val="Heading2"/>
      </w:pPr>
      <w:r>
        <w:t>1.1  Produkt- und Leistungsbeschreibung</w:t>
      </w:r>
    </w:p>
    <w:p>
      <w:r>
        <w:rPr>
          <w:b w:val="0"/>
          <w:i w:val="0"/>
        </w:rPr>
        <w:t xml:space="preserve">Plappi ist ein bildschirmfreies, kindgerechtes Gerät mit einem </w:t>
      </w:r>
      <w:r>
        <w:rPr>
          <w:b/>
          <w:i w:val="0"/>
        </w:rPr>
        <w:t>Fernfeld-Mikrofonarray</w:t>
      </w:r>
      <w:r>
        <w:rPr>
          <w:b w:val="0"/>
          <w:i w:val="0"/>
        </w:rPr>
        <w:t xml:space="preserve"> und einer </w:t>
      </w:r>
      <w:r>
        <w:rPr>
          <w:b/>
          <w:i w:val="0"/>
        </w:rPr>
        <w:t>eingebetteten Recheneinheit</w:t>
      </w:r>
      <w:r>
        <w:rPr>
          <w:b w:val="0"/>
          <w:i w:val="0"/>
        </w:rPr>
        <w:t xml:space="preserve">, das mit Kindern freie, adaptive </w:t>
      </w:r>
      <w:r>
        <w:rPr>
          <w:b/>
          <w:i w:val="0"/>
        </w:rPr>
        <w:t>bilinguale Dialoge und Geschichten</w:t>
      </w:r>
      <w:r>
        <w:rPr>
          <w:b w:val="0"/>
          <w:i w:val="0"/>
        </w:rPr>
        <w:t xml:space="preserve"> führt. Im Gegensatz zu passivem Audio-Spielzeug versteht und beantwortet Plappi gesprochene Sprache des Kindes in Echtzeit, korrigiert die Aussprache sanft, wiederholt zu festigende Wörter nach dem Spaced-Repetition-Prinzip, nutzt Kognaten und personalisiert Inhalte auf Interessen, Bezugspersonen und Altersstufe.</w:t>
      </w:r>
    </w:p>
    <w:p>
      <w:pPr>
        <w:spacing w:after="40"/>
      </w:pPr>
      <w:r>
        <w:rPr>
          <w:b/>
          <w:i w:val="0"/>
        </w:rPr>
        <w:t>Kernmerkmale:</w:t>
      </w:r>
    </w:p>
    <w:p>
      <w:pPr>
        <w:pStyle w:val="ListBullet"/>
        <w:spacing w:after="60"/>
      </w:pPr>
      <w:r>
        <w:rPr>
          <w:b/>
        </w:rPr>
        <w:t>Bildschirmfrei</w:t>
      </w:r>
      <w:r>
        <w:rPr>
          <w:b w:val="0"/>
        </w:rPr>
        <w:t xml:space="preserve"> — keine Screen-Time, erschließt auch die Altersgruppe unter 6 Jahren, für die App-Lösungen pädagogisch wie regulatorisch ungeeignet sind.</w:t>
      </w:r>
    </w:p>
    <w:p>
      <w:pPr>
        <w:pStyle w:val="ListBullet"/>
        <w:spacing w:after="60"/>
      </w:pPr>
      <w:r>
        <w:rPr>
          <w:b/>
        </w:rPr>
        <w:t>Mehrsprachig-adaptiv inkl. Echtzeit-Code-Switching</w:t>
      </w:r>
      <w:r>
        <w:rPr>
          <w:b w:val="0"/>
        </w:rPr>
        <w:t xml:space="preserve"> — natürliche Mischsätze; Start mit 3–5 Sprachen, perspektivisch bis 27.</w:t>
      </w:r>
    </w:p>
    <w:p>
      <w:pPr>
        <w:pStyle w:val="ListBullet"/>
        <w:spacing w:after="60"/>
      </w:pPr>
      <w:r>
        <w:rPr>
          <w:b/>
        </w:rPr>
        <w:t>Datensouverän</w:t>
      </w:r>
      <w:r>
        <w:rPr>
          <w:b w:val="0"/>
        </w:rPr>
        <w:t xml:space="preserve"> — Verarbeitung ausschließlich auf EU-Infrastruktur; kindliche Sprachdaten fließen architektonisch nicht in KI-Training.</w:t>
      </w:r>
    </w:p>
    <w:p>
      <w:pPr>
        <w:pStyle w:val="ListBullet"/>
        <w:spacing w:after="60"/>
      </w:pPr>
      <w:r>
        <w:rPr>
          <w:b/>
        </w:rPr>
        <w:t>Eltern-Dashboard</w:t>
      </w:r>
      <w:r>
        <w:rPr>
          <w:b w:val="0"/>
        </w:rPr>
        <w:t xml:space="preserve"> — transparente Fortschrittskontrolle; datenschutzkonforme Auffälligkeits-Flags ohne Sprachaufzeichnung.</w:t>
      </w:r>
    </w:p>
    <w:p>
      <w:pPr>
        <w:pStyle w:val="ListBullet"/>
        <w:spacing w:after="60"/>
      </w:pPr>
      <w:r>
        <w:rPr>
          <w:b/>
        </w:rPr>
        <w:t>Curricular-Sync (B2B)</w:t>
      </w:r>
      <w:r>
        <w:rPr>
          <w:b w:val="0"/>
        </w:rPr>
        <w:t xml:space="preserve"> — Lehrkräfte geben einen Vokabel-/Themenkanon vor („Hausaufgaben-Modus”), ohne dass kindliche Sprachdaten an die Lehrkraft übertragen werden.</w:t>
      </w:r>
    </w:p>
    <w:p>
      <w:r>
        <w:rPr>
          <w:b w:val="0"/>
          <w:i w:val="0"/>
        </w:rPr>
        <w:t>Geschäftsmodell: einmaliger Hardware-Verkauf (~90 EUR) plus wiederkehrendes Abo (~9,90 EUR/Monat) für Content, Updates und private Inferenz.</w:t>
      </w:r>
    </w:p>
    <w:p>
      <w:pPr>
        <w:pStyle w:val="Heading2"/>
      </w:pPr>
      <w:r>
        <w:t>1.2  Deep-Tech-Charakter und Technologievorsprung</w:t>
      </w:r>
    </w:p>
    <w:p>
      <w:r>
        <w:rPr>
          <w:b w:val="0"/>
          <w:i w:val="0"/>
        </w:rPr>
        <w:t xml:space="preserve">aws Preseed Deep Tech fördert ausdrücklich nur Vorhaben mit einem </w:t>
      </w:r>
      <w:r>
        <w:rPr>
          <w:b/>
          <w:i w:val="0"/>
        </w:rPr>
        <w:t>international neuen, technologisch anspruchsvollen Vorsprung</w:t>
      </w:r>
      <w:r>
        <w:rPr>
          <w:b w:val="0"/>
          <w:i w:val="0"/>
        </w:rPr>
        <w:t xml:space="preserve">; „inkrementelle Innovation” ist ausgeschlossen. Der Deep-Tech-Charakter von Plappi liegt nicht in einer einzelnen Komponente, sondern in der </w:t>
      </w:r>
      <w:r>
        <w:rPr>
          <w:b/>
          <w:i w:val="0"/>
        </w:rPr>
        <w:t>technisch riskanten Integration von drei harten, je für sich forschungsintensiven Bausteinen</w:t>
      </w:r>
      <w:r>
        <w:rPr>
          <w:b w:val="0"/>
          <w:i w:val="0"/>
        </w:rPr>
        <w:t xml:space="preserve"> auf einer bildschirmfreien, ressourcenbeschränkten Hardware. Jeder Baustein geht über den verfügbaren Stand der Technik hinaus und ist nicht durch reines Fine-tuning vorhandener Modelle oder durch das Verdrahten fremder Cloud-APIs lösbar.</w:t>
      </w:r>
    </w:p>
    <w:p>
      <w:pPr>
        <w:spacing w:after="40"/>
      </w:pPr>
      <w:r>
        <w:rPr>
          <w:b/>
          <w:i w:val="0"/>
        </w:rPr>
        <w:t>Baustein A — Mehrsprachige Kinder-Spracherkennung (ASR/TTS).</w:t>
      </w:r>
    </w:p>
    <w:p>
      <w:r>
        <w:rPr>
          <w:b w:val="0"/>
          <w:i w:val="0"/>
        </w:rPr>
        <w:t xml:space="preserve">Kinderstimmen sind für die automatische Spracherkennung notorisch schwer: kurze Vokaltrakte, hohe Grundfrequenz, instabile Artikulation, Aussprachefehler, Dialekte und sehr wenig verfügbare Trainingsdaten. Generische, auf Erwachsenenstimmen optimierte Modelle (z. B. Whisper-Familie) zeigen auf Kindersprache </w:t>
      </w:r>
      <w:r>
        <w:rPr>
          <w:b/>
          <w:i w:val="0"/>
        </w:rPr>
        <w:t>deutlich erhöhte Wortfehlerraten</w:t>
      </w:r>
      <w:r>
        <w:rPr>
          <w:b w:val="0"/>
          <w:i w:val="0"/>
        </w:rPr>
        <w:t xml:space="preserve">; in mehrsprachigen Mischsätzen mit Echtzeit-Code-Switching verschärft sich das Problem. Es ist international ein offenes Forschungsproblem, ob über kontrollierte Datenerhebung, Daten-Augmentation und gezieltes Finetuning eine </w:t>
      </w:r>
      <w:r>
        <w:rPr>
          <w:b/>
          <w:i w:val="0"/>
        </w:rPr>
        <w:t>dialogtaugliche Wortfehlerrate über die gesamte Altersspanne 2–15 und über Dialekte/Mehrsprachigkeit hinweg</w:t>
      </w:r>
      <w:r>
        <w:rPr>
          <w:b w:val="0"/>
          <w:i w:val="0"/>
        </w:rPr>
        <w:t xml:space="preserve"> erreichbar ist. Plappi adressiert dies mit einer eigenen, datenschutzkonformen Kinder-Sprachdatenpipeline und einer eigenen Trainings-/Evaluierungsmethodik — ein </w:t>
      </w:r>
      <w:r>
        <w:rPr>
          <w:b/>
          <w:i w:val="0"/>
        </w:rPr>
        <w:t>datengetriebener Vorsprung, der nicht öffentlich verfügbar ist</w:t>
      </w:r>
      <w:r>
        <w:rPr>
          <w:b w:val="0"/>
          <w:i w:val="0"/>
        </w:rPr>
        <w:t xml:space="preserve"> (Zielwert: relative WER-Reduktion ≥ 30 % gegenüber einer generischen Open-Source-Baseline).</w:t>
      </w:r>
    </w:p>
    <w:p>
      <w:pPr>
        <w:spacing w:after="40"/>
      </w:pPr>
      <w:r>
        <w:rPr>
          <w:b/>
          <w:i w:val="0"/>
        </w:rPr>
        <w:t>Baustein B — Private On-Device-/EU-Inferenz-Architektur mit architektonischem Trainingsausschluss.</w:t>
      </w:r>
    </w:p>
    <w:p>
      <w:r>
        <w:rPr>
          <w:b w:val="0"/>
          <w:i w:val="0"/>
        </w:rPr>
        <w:t xml:space="preserve">Das datenschutzgetriebene Kernversprechen verlangt, dass quelloffene Sprachmodelle </w:t>
      </w:r>
      <w:r>
        <w:rPr>
          <w:b/>
          <w:i w:val="0"/>
        </w:rPr>
        <w:t>privat auf gemieteter EU-GPU-Infrastruktur</w:t>
      </w:r>
      <w:r>
        <w:rPr>
          <w:b w:val="0"/>
          <w:i w:val="0"/>
        </w:rPr>
        <w:t xml:space="preserve"> betrieben werden, statt Public-Cloud-LLM-APIs zu nutzen — und dass kindliche Gesprächsdaten </w:t>
      </w:r>
      <w:r>
        <w:rPr>
          <w:b/>
          <w:i w:val="0"/>
        </w:rPr>
        <w:t>architektonisch</w:t>
      </w:r>
      <w:r>
        <w:rPr>
          <w:b w:val="0"/>
          <w:i w:val="0"/>
        </w:rPr>
        <w:t xml:space="preserve"> (nicht nur per AGB-Zusage) vom Modelltraining ausgeschlossen sind. Quelloffene Modelle sind kleiner bzw. anders trainiert als die größten proprietären Modelle; ob ihre dialogische, erzählerische und pädagogische Qualität bei </w:t>
      </w:r>
      <w:r>
        <w:rPr>
          <w:b/>
          <w:i w:val="0"/>
        </w:rPr>
        <w:t>dialogtauglicher Latenz</w:t>
      </w:r>
      <w:r>
        <w:rPr>
          <w:b w:val="0"/>
          <w:i w:val="0"/>
        </w:rPr>
        <w:t xml:space="preserve"> (Ziel: niedriger Sekundenbereich) und vertretbaren Compute-Kosten ein kindgerechtes, sicheres Erlebnis liefert, ist nicht abschließend belegt und Gegenstand der Entwicklung. Die Architektur (Edge-/Server-Aufteilung, Quantisierung, Caching, Batching, Latenz-/Kosten-Optimierung) ist eine eigenständige technische Leistung und ein wiederverwendbares, datensouveränes Inferenz-Asset („made in EU”).</w:t>
      </w:r>
    </w:p>
    <w:p>
      <w:pPr>
        <w:spacing w:after="40"/>
      </w:pPr>
      <w:r>
        <w:rPr>
          <w:b/>
          <w:i w:val="0"/>
        </w:rPr>
        <w:t>Baustein C — Hardware-Software-Co-Design.</w:t>
      </w:r>
    </w:p>
    <w:p>
      <w:r>
        <w:rPr>
          <w:b w:val="0"/>
          <w:i w:val="0"/>
        </w:rPr>
        <w:t xml:space="preserve">Der KI-Stack läuft nicht auf einem Standard-Smartphone, sondern auf einem eigens entwickelten, kindgerechten, bildschirmfreien Gerät. Fernfeld-Audioerfassung im realen, lauten Kinderzimmer (Beamforming, Mikrofonarray-Geometrie, Echo-/Hall-Unterdrückung), die Auslegung der eingebetteten Recheneinheit, das Latenzbudget zwischen Gerät und EU-Inferenz sowie die Audio-/Firmware-Pipeline müssen </w:t>
      </w:r>
      <w:r>
        <w:rPr>
          <w:b/>
          <w:i w:val="0"/>
        </w:rPr>
        <w:t>gemeinsam mit den ASR-/Inferenz-Anforderungen</w:t>
      </w:r>
      <w:r>
        <w:rPr>
          <w:b w:val="0"/>
          <w:i w:val="0"/>
        </w:rPr>
        <w:t xml:space="preserve"> ausgelegt werden. Genau dieses Co-Design ist Gegenstand des hier beantragten Hardware-Arbeitspakets. Die Hardware ist nicht „Beiwerk”, sondern die physische Voraussetzung dafür, dass der KI-Kern unter realen akustischen Bedingungen kindgerecht funktioniert.</w:t>
      </w:r>
    </w:p>
    <w:p>
      <w:pPr>
        <w:spacing w:after="40"/>
      </w:pPr>
      <w:r>
        <w:rPr>
          <w:b/>
          <w:i w:val="0"/>
        </w:rPr>
        <w:t>Warum das Deep Tech und kein inkrementelles Produkt ist.</w:t>
      </w:r>
    </w:p>
    <w:p>
      <w:r>
        <w:rPr>
          <w:b w:val="0"/>
          <w:i w:val="0"/>
        </w:rPr>
        <w:t xml:space="preserve">Tonies/tiptoi lösen die Hardware (bildschirmfreies Audio), aber ohne jede Sprach-KI. Sprachlern-Apps und Smart Speaker lösen Teile der Software, aber bildschirm-/cloudgebunden und nicht kindzentriert. </w:t>
      </w:r>
      <w:r>
        <w:rPr>
          <w:b/>
          <w:i w:val="0"/>
        </w:rPr>
        <w:t>Niemand</w:t>
      </w:r>
      <w:r>
        <w:rPr>
          <w:b w:val="0"/>
          <w:i w:val="0"/>
        </w:rPr>
        <w:t xml:space="preserve"> kombiniert kindzentrierte mehrsprachige ASR + private EU-Inferenz + bildschirmfreie Co-Design-Hardware. Die technologische Tiefe und das </w:t>
      </w:r>
      <w:r>
        <w:rPr>
          <w:b/>
          <w:i w:val="0"/>
        </w:rPr>
        <w:t>explizite technische Risiko</w:t>
      </w:r>
      <w:r>
        <w:rPr>
          <w:b w:val="0"/>
          <w:i w:val="0"/>
        </w:rPr>
        <w:t xml:space="preserve"> (Kinder-ASR-Genauigkeit, private-Inferenz-Qualität vs. Cloud, Fernfeld-Audio, Latenz auf ressourcenbeschränkter Hardware) heben das Vorhaben klar über inkrementelle Produktanpassung hinaus.</w:t>
      </w:r>
    </w:p>
    <w:p>
      <w:pPr>
        <w:pStyle w:val="Heading2"/>
      </w:pPr>
      <w:r>
        <w:t>1.3  Abgrenzung zum Stand der Technik</w:t>
      </w:r>
    </w:p>
    <w:p>
      <w:r>
        <w:rPr>
          <w:b w:val="0"/>
          <w:i w:val="0"/>
        </w:rPr>
        <w:t>Im Projektumfeld existieren drei Kategorien etablierter Lösungen, die jeweils zentrale Anforderungen nicht erfüllen: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05"/>
        <w:gridCol w:w="1605"/>
        <w:gridCol w:w="1605"/>
        <w:gridCol w:w="1605"/>
        <w:gridCol w:w="1605"/>
        <w:gridCol w:w="1605"/>
      </w:tblGrid>
      <w:tr>
        <w:tc>
          <w:tcPr>
            <w:tcW w:type="dxa" w:w="3054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Kategorie / Beispiele</w:t>
            </w:r>
          </w:p>
        </w:tc>
        <w:tc>
          <w:tcPr>
            <w:tcW w:type="dxa" w:w="1175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Bildschirm-frei</w:t>
            </w:r>
          </w:p>
        </w:tc>
        <w:tc>
          <w:tcPr>
            <w:tcW w:type="dxa" w:w="1410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Freier Dialog / ASR</w:t>
            </w:r>
          </w:p>
        </w:tc>
        <w:tc>
          <w:tcPr>
            <w:tcW w:type="dxa" w:w="1410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Mehr-sprachig-adaptiv</w:t>
            </w:r>
          </w:p>
        </w:tc>
        <w:tc>
          <w:tcPr>
            <w:tcW w:type="dxa" w:w="1410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Kind-zentrierte ASR</w:t>
            </w:r>
          </w:p>
        </w:tc>
        <w:tc>
          <w:tcPr>
            <w:tcW w:type="dxa" w:w="1175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Daten-souverän</w:t>
            </w:r>
          </w:p>
        </w:tc>
      </w:tr>
      <w:tr>
        <w:tc>
          <w:tcPr>
            <w:tcW w:type="dxa" w:w="305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Audio-Lernspielzeug (Tonies, tiptoi)</w:t>
            </w:r>
          </w:p>
        </w:tc>
        <w:tc>
          <w:tcPr>
            <w:tcW w:type="dxa" w:w="117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Ja</w:t>
            </w:r>
          </w:p>
        </w:tc>
        <w:tc>
          <w:tcPr>
            <w:tcW w:type="dxa" w:w="141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Nein (passiv)</w:t>
            </w:r>
          </w:p>
        </w:tc>
        <w:tc>
          <w:tcPr>
            <w:tcW w:type="dxa" w:w="141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Nein</w:t>
            </w:r>
          </w:p>
        </w:tc>
        <w:tc>
          <w:tcPr>
            <w:tcW w:type="dxa" w:w="141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Nein</w:t>
            </w:r>
          </w:p>
        </w:tc>
        <w:tc>
          <w:tcPr>
            <w:tcW w:type="dxa" w:w="117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n/a</w:t>
            </w:r>
          </w:p>
        </w:tc>
      </w:tr>
      <w:tr>
        <w:tc>
          <w:tcPr>
            <w:tcW w:type="dxa" w:w="3054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Sprachlern-Apps (Duolingo, Lingokids)</w:t>
            </w:r>
          </w:p>
        </w:tc>
        <w:tc>
          <w:tcPr>
            <w:tcW w:type="dxa" w:w="1175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Nein (Screen)</w:t>
            </w:r>
          </w:p>
        </w:tc>
        <w:tc>
          <w:tcPr>
            <w:tcW w:type="dxa" w:w="1410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Teilweise</w:t>
            </w:r>
          </w:p>
        </w:tc>
        <w:tc>
          <w:tcPr>
            <w:tcW w:type="dxa" w:w="1410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Teilweise</w:t>
            </w:r>
          </w:p>
        </w:tc>
        <w:tc>
          <w:tcPr>
            <w:tcW w:type="dxa" w:w="1410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Nein</w:t>
            </w:r>
          </w:p>
        </w:tc>
        <w:tc>
          <w:tcPr>
            <w:tcW w:type="dxa" w:w="1175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Nein</w:t>
            </w:r>
          </w:p>
        </w:tc>
      </w:tr>
      <w:tr>
        <w:tc>
          <w:tcPr>
            <w:tcW w:type="dxa" w:w="305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Smart Speaker (Alexa, Google)</w:t>
            </w:r>
          </w:p>
        </w:tc>
        <w:tc>
          <w:tcPr>
            <w:tcW w:type="dxa" w:w="117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Ja</w:t>
            </w:r>
          </w:p>
        </w:tc>
        <w:tc>
          <w:tcPr>
            <w:tcW w:type="dxa" w:w="141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Ja</w:t>
            </w:r>
          </w:p>
        </w:tc>
        <w:tc>
          <w:tcPr>
            <w:tcW w:type="dxa" w:w="141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Nein</w:t>
            </w:r>
          </w:p>
        </w:tc>
        <w:tc>
          <w:tcPr>
            <w:tcW w:type="dxa" w:w="141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Nein (Erwachs.)</w:t>
            </w:r>
          </w:p>
        </w:tc>
        <w:tc>
          <w:tcPr>
            <w:tcW w:type="dxa" w:w="117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Nein</w:t>
            </w:r>
          </w:p>
        </w:tc>
      </w:tr>
      <w:tr>
        <w:tc>
          <w:tcPr>
            <w:tcW w:type="dxa" w:w="3054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sz w:val="17"/>
              </w:rPr>
              <w:t>Plappi</w:t>
            </w:r>
          </w:p>
        </w:tc>
        <w:tc>
          <w:tcPr>
            <w:tcW w:type="dxa" w:w="1175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sz w:val="17"/>
              </w:rPr>
              <w:t>Ja</w:t>
            </w:r>
          </w:p>
        </w:tc>
        <w:tc>
          <w:tcPr>
            <w:tcW w:type="dxa" w:w="1410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sz w:val="17"/>
              </w:rPr>
              <w:t>Ja</w:t>
            </w:r>
          </w:p>
        </w:tc>
        <w:tc>
          <w:tcPr>
            <w:tcW w:type="dxa" w:w="1410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sz w:val="17"/>
              </w:rPr>
              <w:t>Ja</w:t>
            </w:r>
          </w:p>
        </w:tc>
        <w:tc>
          <w:tcPr>
            <w:tcW w:type="dxa" w:w="1410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sz w:val="17"/>
              </w:rPr>
              <w:t>Ja</w:t>
            </w:r>
          </w:p>
        </w:tc>
        <w:tc>
          <w:tcPr>
            <w:tcW w:type="dxa" w:w="1175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sz w:val="17"/>
              </w:rPr>
              <w:t>Ja</w:t>
            </w:r>
          </w:p>
        </w:tc>
      </w:tr>
    </w:tbl>
    <w:p>
      <w:pPr>
        <w:spacing w:after="40"/>
      </w:pPr>
    </w:p>
    <w:p>
      <w:r>
        <w:rPr>
          <w:b w:val="0"/>
          <w:i w:val="0"/>
        </w:rPr>
        <w:t xml:space="preserve">Zusätzlich ist der </w:t>
      </w:r>
      <w:r>
        <w:rPr>
          <w:b/>
          <w:i w:val="0"/>
        </w:rPr>
        <w:t>Stand der Technik bei der Output-Sicherheit</w:t>
      </w:r>
      <w:r>
        <w:rPr>
          <w:b w:val="0"/>
          <w:i w:val="0"/>
        </w:rPr>
        <w:t xml:space="preserve"> für Kinder lückenhaft: Cloud-LLM-Apps liefern keine deterministisch kontrollierbare Output-Sicherheit (probabilistische Outputs, dokumentierte Jailbreaks); klassisches Audio-Spielzeug ist sicher, aber statisch/nicht generativ. Plappi adressiert die Lücke mit einem mehrschichtigen Guardrail-Stack (Prompt-Hardening, Constrained Decoding/Allowlists je Altersstufe, Output-Klassifizierer, deterministische Antwort-Templates, Red-Teaming) — eigenständiges, vertraulich behandeltes Know-how.</w:t>
      </w:r>
    </w:p>
    <w:p>
      <w:r>
        <w:rPr>
          <w:b/>
          <w:i w:val="0"/>
        </w:rPr>
        <w:t>Wissenschaftlicher Stand des Wissens.</w:t>
      </w:r>
      <w:r>
        <w:rPr>
          <w:b w:val="0"/>
          <w:i w:val="0"/>
        </w:rPr>
        <w:t xml:space="preserve"> Die Pädagogik ruht auf über 75 peer-reviewten Studien zur bilingualen Sprachentwicklung, u. a.: Hoff et al. (2012) — ≥ ~30 % Sprachexposition nötig; Romeo et al. (2018) — Konversationsqualität schlägt reine Sprachmenge; Roediger &amp; Karpicke (2006) — Spaced Repetition; Mitchell et al. (2024) — Kognaten erleichtern den Erwerb.</w:t>
      </w:r>
    </w:p>
    <w:p>
      <w:pPr>
        <w:pStyle w:val="Heading2"/>
      </w:pPr>
      <w:r>
        <w:t>1.4  Schutzrechte und IP-Strategie</w:t>
      </w:r>
    </w:p>
    <w:p>
      <w:r>
        <w:rPr>
          <w:b w:val="0"/>
          <w:i w:val="0"/>
        </w:rPr>
        <w:t xml:space="preserve">Deep-Tech-Förderungen erwarten einen </w:t>
      </w:r>
      <w:r>
        <w:rPr>
          <w:b/>
          <w:i w:val="0"/>
        </w:rPr>
        <w:t>schutzrechtlich abgesicherten Vorsprung</w:t>
      </w:r>
      <w:r>
        <w:rPr>
          <w:b w:val="0"/>
          <w:i w:val="0"/>
        </w:rPr>
        <w:t xml:space="preserve">. Plappi setzt diesen bewusst und begründet </w:t>
      </w:r>
      <w:r>
        <w:rPr>
          <w:b/>
          <w:i w:val="0"/>
        </w:rPr>
        <w:t>nicht primär über Patente</w:t>
      </w:r>
      <w:r>
        <w:rPr>
          <w:b w:val="0"/>
          <w:i w:val="0"/>
        </w:rPr>
        <w:t>, sondern über eine mehrschichtige Schutzarchitektur, die für ein Software-/Daten-/Hardware-Startup wirtschaftlich überlegen ist.</w:t>
      </w:r>
    </w:p>
    <w:p>
      <w:pPr>
        <w:spacing w:after="40"/>
      </w:pPr>
      <w:r>
        <w:rPr>
          <w:b/>
          <w:i w:val="0"/>
        </w:rPr>
        <w:t>Die Schutz-Architektur (vier Schichten):</w:t>
      </w:r>
    </w:p>
    <w:p>
      <w:pPr>
        <w:pStyle w:val="ListBullet"/>
        <w:spacing w:after="60"/>
      </w:pPr>
      <w:r>
        <w:rPr>
          <w:b/>
        </w:rPr>
        <w:t>Markenschutz — Wortmarke „Plappi”.</w:t>
      </w:r>
      <w:r>
        <w:rPr>
          <w:b w:val="0"/>
        </w:rPr>
        <w:t xml:space="preserve"> Anmeldung geplant (über aws Innovationsschutz). Sichert Marke, Wiedererkennung und Vertriebsbindung in einem Markenmarkt (vgl. Tonies). [TODO: Marken-Status / Klasse / Anmeldedatum]</w:t>
      </w:r>
    </w:p>
    <w:p>
      <w:pPr>
        <w:pStyle w:val="ListBullet"/>
        <w:spacing w:after="60"/>
      </w:pPr>
      <w:r>
        <w:rPr>
          <w:b/>
        </w:rPr>
        <w:t>Technologischer Vorsprung / Know-how-Schutz.</w:t>
      </w:r>
      <w:r>
        <w:rPr>
          <w:b w:val="0"/>
        </w:rPr>
        <w:t xml:space="preserve"> Auf Kinderstimmen feinabgestimmte ASR/TTS-Modelle, kuratierte mehrsprachige Trainings-/Annotationsdaten, die private Inferenz-Architektur und die Pädagogik-Engine bilden zusammen einen </w:t>
      </w:r>
      <w:r>
        <w:rPr>
          <w:b/>
        </w:rPr>
        <w:t>schwer kopierbaren, datengetriebenen Vorsprung (Lead-Time-Advantage)</w:t>
      </w:r>
      <w:r>
        <w:rPr>
          <w:b w:val="0"/>
        </w:rPr>
        <w:t xml:space="preserve"> — nicht öffentlich verfügbar, nur mit erheblichem Aufwand reproduzierbar.</w:t>
      </w:r>
    </w:p>
    <w:p>
      <w:pPr>
        <w:pStyle w:val="ListBullet"/>
        <w:spacing w:after="60"/>
      </w:pPr>
      <w:r>
        <w:rPr>
          <w:b/>
        </w:rPr>
        <w:t>Geschäftsgeheimnis-Schutz.</w:t>
      </w:r>
      <w:r>
        <w:rPr>
          <w:b w:val="0"/>
        </w:rPr>
        <w:t xml:space="preserve"> Modelle, Datensätze, Trainingsrezepte, Architektur und Guardrail-Stack werden vertraulich behandelt; NDAs mit allen Dienstleistern. Schutz nach UWG/Geschäftsgeheimnis-RL greift ohne Offenlegungszwang und ohne Befristung, solange Geheimhaltung gewahrt bleibt.</w:t>
      </w:r>
    </w:p>
    <w:p>
      <w:pPr>
        <w:pStyle w:val="ListBullet"/>
        <w:spacing w:after="60"/>
      </w:pPr>
      <w:r>
        <w:rPr>
          <w:b/>
        </w:rPr>
        <w:t>Datensouveränität als Vertrauens-/Reputations-Asset.</w:t>
      </w:r>
      <w:r>
        <w:rPr>
          <w:b w:val="0"/>
        </w:rPr>
        <w:t xml:space="preserve"> Der „by design”-Trainingsausschluss ist regulatorischer (DSGVO, EU-AI-Act) und reputativer Burggraben — ein schwer einholbares Positionierungs-Asset, das Kaufentscheidungen treibt.</w:t>
      </w:r>
    </w:p>
    <w:p>
      <w:pPr>
        <w:spacing w:after="40"/>
      </w:pPr>
      <w:r>
        <w:rPr>
          <w:b/>
          <w:i w:val="0"/>
        </w:rPr>
        <w:t>Begründung: Warum Lead-Time / Geschäftsgeheimnis statt Patente?</w:t>
      </w:r>
    </w:p>
    <w:p>
      <w:pPr>
        <w:pStyle w:val="ListBullet"/>
        <w:spacing w:after="60"/>
      </w:pPr>
      <w:r>
        <w:rPr>
          <w:b/>
        </w:rPr>
        <w:t>Der Wertkern ist Software, Modelle, Daten und Systemintegration</w:t>
      </w:r>
      <w:r>
        <w:rPr>
          <w:b w:val="0"/>
        </w:rPr>
        <w:t xml:space="preserve"> — kein neuartiges physikalisches Verfahren. Hier ist Patentschutz schwer durchsetzbar (Verletzungen kaum nachweisbar, da Modelle/Daten im Produktinneren verborgen bleiben) und schnell überholt.</w:t>
      </w:r>
    </w:p>
    <w:p>
      <w:pPr>
        <w:pStyle w:val="ListBullet"/>
        <w:spacing w:after="60"/>
      </w:pPr>
      <w:r>
        <w:rPr>
          <w:b/>
        </w:rPr>
        <w:t>Patente erzwingen Offenlegung.</w:t>
      </w:r>
      <w:r>
        <w:rPr>
          <w:b w:val="0"/>
        </w:rPr>
        <w:t xml:space="preserve"> Eine Patentschrift veröffentlicht die Lehre und liefert Wettbewerbern eine Bauanleitung — kontraproduktiv für einen Vorsprung, der gerade aus nicht-öffentlichem Wissen besteht.</w:t>
      </w:r>
    </w:p>
    <w:p>
      <w:pPr>
        <w:pStyle w:val="ListBullet"/>
        <w:spacing w:after="60"/>
      </w:pPr>
      <w:r>
        <w:rPr>
          <w:b/>
        </w:rPr>
        <w:t>Iterationsgeschwindigkeit.</w:t>
      </w:r>
      <w:r>
        <w:rPr>
          <w:b w:val="0"/>
        </w:rPr>
        <w:t xml:space="preserve"> ASR-/LLM-Stacks iterieren in Monaten; ein 2–4-jähriges Erteilungsverfahren ist langsamer als der Technologiezyklus.</w:t>
      </w:r>
    </w:p>
    <w:p>
      <w:pPr>
        <w:pStyle w:val="ListBullet"/>
        <w:spacing w:after="60"/>
      </w:pPr>
      <w:r>
        <w:rPr>
          <w:b/>
        </w:rPr>
        <w:t>Kosten-/Nutzen für ein Startup.</w:t>
      </w:r>
      <w:r>
        <w:rPr>
          <w:b w:val="0"/>
        </w:rPr>
        <w:t xml:space="preserve"> Internationale Patentfamilien binden mittleren sechsstelligen Aufwand — Kapital, das in der Vorgründungsphase besser in Datenaufbau und Engineering fließt.</w:t>
      </w:r>
    </w:p>
    <w:p>
      <w:pPr>
        <w:pStyle w:val="ListBullet"/>
        <w:spacing w:after="60"/>
      </w:pPr>
      <w:r>
        <w:rPr>
          <w:b/>
        </w:rPr>
        <w:t>Datengetriebener Burggraben ist selbstverstärkend.</w:t>
      </w:r>
      <w:r>
        <w:rPr>
          <w:b w:val="0"/>
        </w:rPr>
        <w:t xml:space="preserve"> Mit wachsender Installationsbasis und einwilligungsbasierter Datengrundlage vertieft sich der Modell-/Datenvorsprung kontinuierlich — schneller, als ihn ein Nachahmer einholen kann.</w:t>
      </w:r>
    </w:p>
    <w:p>
      <w:r>
        <w:rPr>
          <w:b/>
          <w:i w:val="0"/>
        </w:rPr>
        <w:t>Freedom-to-Operate (FTO).</w:t>
      </w:r>
      <w:r>
        <w:rPr>
          <w:b w:val="0"/>
          <w:i w:val="0"/>
        </w:rPr>
        <w:t xml:space="preserve"> Eine orientierende Patent-/Marktrecherche hat keine blockierenden Schutzrechte ergeben. Eine </w:t>
      </w:r>
      <w:r>
        <w:rPr>
          <w:b/>
          <w:i w:val="0"/>
        </w:rPr>
        <w:t>vertiefte FTO-Recherche vor Markteintritt</w:t>
      </w:r>
      <w:r>
        <w:rPr>
          <w:b w:val="0"/>
          <w:i w:val="0"/>
        </w:rPr>
        <w:t xml:space="preserve"> (im Zuge der Markenanmeldung über aws Innovationsschutz) ist fest vorgesehen. Eine spätere, selektive Patentierung einzelner </w:t>
      </w:r>
      <w:r>
        <w:rPr>
          <w:b/>
          <w:i w:val="0"/>
        </w:rPr>
        <w:t>Hardware-/Verfahrensaspekte</w:t>
      </w:r>
      <w:r>
        <w:rPr>
          <w:b w:val="0"/>
          <w:i w:val="0"/>
        </w:rPr>
        <w:t xml:space="preserve"> (z. B. eine konkrete Mikrofonarray-/Audio-Pipeline-Lösung aus dem Hardware-WP) bleibt ausdrücklich offen. Eigentümer der Schutzrechte: Plappi FlexCo (nach Gründung).</w:t>
      </w:r>
    </w:p>
    <w:p>
      <w:pPr>
        <w:pStyle w:val="Heading2"/>
      </w:pPr>
      <w:r>
        <w:t>1.5  USP, Stärken und Schwächen</w:t>
      </w:r>
    </w:p>
    <w:p>
      <w:r>
        <w:rPr>
          <w:b/>
          <w:i w:val="0"/>
        </w:rPr>
        <w:t>USP:</w:t>
      </w:r>
      <w:r>
        <w:rPr>
          <w:b w:val="0"/>
          <w:i w:val="0"/>
        </w:rPr>
        <w:t xml:space="preserve"> Kein anderes Produkt vereint bildschirmfreien, mehrsprachigen, aktiven Kinder-Dialog mit privater EU-Inferenz, kindzentrierter Spracherkennung und adaptiver, wissenschaftlich fundierter Pädagogik in einem Gerät.</w:t>
      </w:r>
    </w:p>
    <w:p>
      <w:r>
        <w:rPr>
          <w:b/>
          <w:i w:val="0"/>
        </w:rPr>
        <w:t>Stärken:</w:t>
      </w:r>
      <w:r>
        <w:rPr>
          <w:b w:val="0"/>
          <w:i w:val="0"/>
        </w:rPr>
        <w:t xml:space="preserve"> regulatorisch zukunftssicher (DSGVO/EU-AI-Act by design); unbesetzte Nische bilingualer Familien; einschlägige KI-/Hardware-Kompetenz (BReact); funktionsfähiger Prototyp als De-Risking-Beleg; datengetriebener Burggraben.</w:t>
      </w:r>
    </w:p>
    <w:p>
      <w:r>
        <w:rPr>
          <w:b/>
          <w:i w:val="0"/>
        </w:rPr>
        <w:t>Schwächen:</w:t>
      </w:r>
      <w:r>
        <w:rPr>
          <w:b w:val="0"/>
          <w:i w:val="0"/>
        </w:rPr>
        <w:t xml:space="preserve"> Marktneuling ohne Markenbekanntheit; hoher Kapitalbedarf der Hardware-Industrialisierung; Team im Aufbau; technisches Restrisiko (Kinder-ASR, private Inferenz) — adressiert über Förder-Stack, Prototyp-De-Risking und definierte Rückfallebenen (Kapitel 8).</w:t>
      </w:r>
    </w:p>
    <w:p>
      <w:pPr>
        <w:pStyle w:val="Heading2"/>
      </w:pPr>
      <w:r>
        <w:t>1.6  Wertschöpfungskette und Leistungserstellung</w:t>
      </w:r>
    </w:p>
    <w:p>
      <w:r>
        <w:rPr>
          <w:b w:val="0"/>
          <w:i w:val="0"/>
        </w:rPr>
        <w:t xml:space="preserve">F&amp;E (KI + Hardware) erfolgt in Wien. Die Elektronik-/Gehäusefertigung wird an spezialisierte Auftragsfertiger (EU-nah, soweit möglich) vergeben; Endmontage/QA und Distribution erfolgen D2C plus Abo. Die </w:t>
      </w:r>
      <w:r>
        <w:rPr>
          <w:b/>
          <w:i w:val="0"/>
        </w:rPr>
        <w:t>Wertschöpfung verbleibt überwiegend in Österreich</w:t>
      </w:r>
      <w:r>
        <w:rPr>
          <w:b w:val="0"/>
          <w:i w:val="0"/>
        </w:rPr>
        <w:t xml:space="preserve"> (F&amp;E, Software, IP, Modelle/Datensätze, Inferenz-Betrieb auf EU-Infrastruktur). Durch private EU-Inferenz statt außereuropäischer Cloud-LLM-APIs werden Importleistungen substituiert (digitale Souveränität).</w:t>
      </w:r>
    </w:p>
    <w:p>
      <w:r>
        <w:br w:type="page"/>
      </w:r>
    </w:p>
    <w:p>
      <w:pPr>
        <w:pStyle w:val="Heading1"/>
      </w:pPr>
      <w:r>
        <w:t>2.  Gesellschaftlicher Mehrwert / Impact</w:t>
      </w:r>
    </w:p>
    <w:p>
      <w:r>
        <w:rPr>
          <w:b w:val="0"/>
          <w:i w:val="0"/>
        </w:rPr>
        <w:t xml:space="preserve">Plappi adressiert das aws-förderbare Themenfeld </w:t>
      </w:r>
      <w:r>
        <w:rPr>
          <w:b/>
          <w:i w:val="0"/>
        </w:rPr>
        <w:t>Bildung</w:t>
      </w:r>
      <w:r>
        <w:rPr>
          <w:b w:val="0"/>
          <w:i w:val="0"/>
        </w:rPr>
        <w:t xml:space="preserve"> mit messbarer gesellschaftlicher Wirkung — als Hauptziel, nicht als Nebeneffekt.</w:t>
      </w:r>
    </w:p>
    <w:p>
      <w:r>
        <w:rPr>
          <w:b/>
          <w:i w:val="0"/>
        </w:rPr>
        <w:t>Bildungsgerechtigkeit (SDG 4, SDG 10).</w:t>
      </w:r>
      <w:r>
        <w:rPr>
          <w:b w:val="0"/>
          <w:i w:val="0"/>
        </w:rPr>
        <w:t xml:space="preserve"> Mehrsprachige Sprachförderung wird vom Bildungsbudget der Familie entkoppelt. Kinder aus nicht-akademischen oder migrantischen Haushalten erhalten niederschwelligen Zugang zu Förderung, die sonst teuren Kursen vorbehalten ist. Plappi kann den für aktiven Zweitspracherwerb nötigen ~30 %-Expositionsanteil (Hoff et al. 2012) erstmals auch in Familien ohne zweiten Muttersprachler bereitstellen.</w:t>
      </w:r>
    </w:p>
    <w:p>
      <w:r>
        <w:rPr>
          <w:b/>
          <w:i w:val="0"/>
        </w:rPr>
        <w:t>Inklusion und Herkunftssprachen-Erhalt.</w:t>
      </w:r>
      <w:r>
        <w:rPr>
          <w:b w:val="0"/>
          <w:i w:val="0"/>
        </w:rPr>
        <w:t xml:space="preserve"> Kinder nicht-deutscher Erstsprache werden in ihrer Erst- und Zweitsprache gefördert; die Mehrsprachigkeit hilft, Herkunftssprachen aktiv zu erhalten — ein Beitrag zu kultureller Teilhabe.</w:t>
      </w:r>
    </w:p>
    <w:p>
      <w:r>
        <w:rPr>
          <w:b/>
          <w:i w:val="0"/>
        </w:rPr>
        <w:t>Kindersicher, werbefrei, datenschutzkonform (SDG 16).</w:t>
      </w:r>
      <w:r>
        <w:rPr>
          <w:b w:val="0"/>
          <w:i w:val="0"/>
        </w:rPr>
        <w:t xml:space="preserve"> Kein Training mit Kinderdaten, EU-Verarbeitung, EU-AI-Act-konform „by design”, deterministisch abgesicherte Output-Guardrails. Plappi setzt einen positiven Branchenstandard für vertrauenswürdige Kinder-KI.</w:t>
      </w:r>
    </w:p>
    <w:p>
      <w:r>
        <w:rPr>
          <w:b/>
          <w:i w:val="0"/>
        </w:rPr>
        <w:t>Gender-Bias-Reduktion in der ASR.</w:t>
      </w:r>
      <w:r>
        <w:rPr>
          <w:b w:val="0"/>
          <w:i w:val="0"/>
        </w:rPr>
        <w:t xml:space="preserve"> Spracherkennung ist nachweislich anfällig für demografische Verzerrungen. Durch den gezielten Aufbau eines </w:t>
      </w:r>
      <w:r>
        <w:rPr>
          <w:b/>
          <w:i w:val="0"/>
        </w:rPr>
        <w:t>ausgewogenen, kindgerechten Sprachdatenkorpus</w:t>
      </w:r>
      <w:r>
        <w:rPr>
          <w:b w:val="0"/>
          <w:i w:val="0"/>
        </w:rPr>
        <w:t xml:space="preserve"> (Geschlecht, Alter, Dialekt, Mehrsprachigkeit) reduziert Plappi systematisch Bias und verbessert die Erkennungsgleichheit über Gruppen hinweg.</w:t>
      </w:r>
    </w:p>
    <w:p>
      <w:r>
        <w:rPr>
          <w:b/>
          <w:i w:val="0"/>
        </w:rPr>
        <w:t>Green (SDG 12, SDG 13).</w:t>
      </w:r>
      <w:r>
        <w:rPr>
          <w:b w:val="0"/>
          <w:i w:val="0"/>
        </w:rPr>
        <w:t xml:space="preserve"> Bildschirmfrei (vermeidet Display-Produktion/-Energie); langlebige, reparierbare, update-fähige Hardware; energieeffiziente EU-Inferenz (Quantisierung, Batching) statt überdimensionierter Cloud-Aufrufe; EU-Rechenzentren mit zunehmend dekarbonisiertem Strommix. Energie-/CO2-Verbrauch je Dialog wird als interne Kennzahl erfasst und optimiert.</w:t>
      </w:r>
    </w:p>
    <w:p>
      <w:pPr>
        <w:spacing w:after="40"/>
      </w:pPr>
      <w:r>
        <w:rPr>
          <w:b/>
          <w:i w:val="0"/>
        </w:rPr>
        <w:t>Wirkungslogik (Wirkungstreppe):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1"/>
        <w:gridCol w:w="3211"/>
        <w:gridCol w:w="3211"/>
      </w:tblGrid>
      <w:tr>
        <w:tc>
          <w:tcPr>
            <w:tcW w:type="dxa" w:w="1926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Stufe</w:t>
            </w:r>
          </w:p>
        </w:tc>
        <w:tc>
          <w:tcPr>
            <w:tcW w:type="dxa" w:w="4367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Beschreibung</w:t>
            </w:r>
          </w:p>
        </w:tc>
        <w:tc>
          <w:tcPr>
            <w:tcW w:type="dxa" w:w="3339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Indikator (Beispiel)</w:t>
            </w:r>
          </w:p>
        </w:tc>
      </w:tr>
      <w:tr>
        <w:tc>
          <w:tcPr>
            <w:tcW w:type="dxa" w:w="1926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Aktivität (Output)</w:t>
            </w:r>
          </w:p>
        </w:tc>
        <w:tc>
          <w:tcPr>
            <w:tcW w:type="dxa" w:w="436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Geräte ausgeliefert, Sprachen/Inhalte bereitgestellt</w:t>
            </w:r>
          </w:p>
        </w:tc>
        <w:tc>
          <w:tcPr>
            <w:tcW w:type="dxa" w:w="333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Stückzahl, Sprachabdeckung</w:t>
            </w:r>
          </w:p>
        </w:tc>
      </w:tr>
      <w:tr>
        <w:tc>
          <w:tcPr>
            <w:tcW w:type="dxa" w:w="1926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Reichweite</w:t>
            </w:r>
          </w:p>
        </w:tc>
        <w:tc>
          <w:tcPr>
            <w:tcW w:type="dxa" w:w="4367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erreichte Familien/Kinder, Anteil unterversorgter Gruppen</w:t>
            </w:r>
          </w:p>
        </w:tc>
        <w:tc>
          <w:tcPr>
            <w:tcW w:type="dxa" w:w="3339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aktive Installationsbasis</w:t>
            </w:r>
          </w:p>
        </w:tc>
      </w:tr>
      <w:tr>
        <w:tc>
          <w:tcPr>
            <w:tcW w:type="dxa" w:w="1926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Nutzung</w:t>
            </w:r>
          </w:p>
        </w:tc>
        <w:tc>
          <w:tcPr>
            <w:tcW w:type="dxa" w:w="436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tägliche Dialognutzung, „conversational turns”</w:t>
            </w:r>
          </w:p>
        </w:tc>
        <w:tc>
          <w:tcPr>
            <w:tcW w:type="dxa" w:w="333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Nutzungsdauer, Turn-Zahl</w:t>
            </w:r>
          </w:p>
        </w:tc>
      </w:tr>
      <w:tr>
        <w:tc>
          <w:tcPr>
            <w:tcW w:type="dxa" w:w="1926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Wirkung (Outcome)</w:t>
            </w:r>
          </w:p>
        </w:tc>
        <w:tc>
          <w:tcPr>
            <w:tcW w:type="dxa" w:w="4367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mehr aktive Sprachexposition, messbarer Spracherwerb</w:t>
            </w:r>
          </w:p>
        </w:tc>
        <w:tc>
          <w:tcPr>
            <w:tcW w:type="dxa" w:w="3339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Wortschatz-Retention (Ziel: ≥ 20 % höher vs. passives Audio nach 7 Tagen)</w:t>
            </w:r>
          </w:p>
        </w:tc>
      </w:tr>
      <w:tr>
        <w:tc>
          <w:tcPr>
            <w:tcW w:type="dxa" w:w="1926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Gesellschaftl. Wirkung</w:t>
            </w:r>
          </w:p>
        </w:tc>
        <w:tc>
          <w:tcPr>
            <w:tcW w:type="dxa" w:w="436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mehr Bildungschancen, Inklusion, Herkunftssprachen</w:t>
            </w:r>
          </w:p>
        </w:tc>
        <w:tc>
          <w:tcPr>
            <w:tcW w:type="dxa" w:w="333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Reichweite in unterversorgten Gruppen, Datenschutz-Audits</w:t>
            </w:r>
          </w:p>
        </w:tc>
      </w:tr>
    </w:tbl>
    <w:p>
      <w:pPr>
        <w:spacing w:after="40"/>
      </w:pPr>
    </w:p>
    <w:p>
      <w:r>
        <w:br w:type="page"/>
      </w:r>
    </w:p>
    <w:p>
      <w:pPr>
        <w:pStyle w:val="Heading1"/>
      </w:pPr>
      <w:r>
        <w:t>3.  Markt und Wettbewerb</w:t>
      </w:r>
    </w:p>
    <w:p>
      <w:pPr>
        <w:pStyle w:val="Heading2"/>
      </w:pPr>
      <w:r>
        <w:t>3.1  Marktgröße und -wachstum</w:t>
      </w:r>
    </w:p>
    <w:p>
      <w:r>
        <w:rPr>
          <w:b w:val="0"/>
          <w:i w:val="0"/>
        </w:rPr>
        <w:t>Plappi adressiert die Schnittmenge aus EdTech-Sprachlernen (frühkindlich/schulisch), bildschirmfreiem Audio-Kinderprodukt und datensouveräner Consumer-KI-Hardware.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1"/>
        <w:gridCol w:w="3211"/>
        <w:gridCol w:w="3211"/>
      </w:tblGrid>
      <w:tr>
        <w:tc>
          <w:tcPr>
            <w:tcW w:type="dxa" w:w="4623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Indikator</w:t>
            </w:r>
          </w:p>
        </w:tc>
        <w:tc>
          <w:tcPr>
            <w:tcW w:type="dxa" w:w="2954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Wert</w:t>
            </w:r>
          </w:p>
        </w:tc>
        <w:tc>
          <w:tcPr>
            <w:tcW w:type="dxa" w:w="2055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Quelle</w:t>
            </w:r>
          </w:p>
        </w:tc>
      </w:tr>
      <w:tr>
        <w:tc>
          <w:tcPr>
            <w:tcW w:type="dxa" w:w="462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Kinder 0–14 Jahre in der EU</w:t>
            </w:r>
          </w:p>
        </w:tc>
        <w:tc>
          <w:tcPr>
            <w:tcW w:type="dxa" w:w="295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~65,6 Mio.</w:t>
            </w:r>
          </w:p>
        </w:tc>
        <w:tc>
          <w:tcPr>
            <w:tcW w:type="dxa" w:w="20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Eurostat (2024)</w:t>
            </w:r>
          </w:p>
        </w:tc>
      </w:tr>
      <w:tr>
        <w:tc>
          <w:tcPr>
            <w:tcW w:type="dxa" w:w="462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Oberstufenschüler mit Englisch als Fremdsprache</w:t>
            </w:r>
          </w:p>
        </w:tc>
        <w:tc>
          <w:tcPr>
            <w:tcW w:type="dxa" w:w="2954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89,4 %</w:t>
            </w:r>
          </w:p>
        </w:tc>
        <w:tc>
          <w:tcPr>
            <w:tcW w:type="dxa" w:w="2055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Eurostat</w:t>
            </w:r>
          </w:p>
        </w:tc>
      </w:tr>
      <w:tr>
        <w:tc>
          <w:tcPr>
            <w:tcW w:type="dxa" w:w="462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EdTech-Sprachlernmarkt (Volumen)</w:t>
            </w:r>
          </w:p>
        </w:tc>
        <w:tc>
          <w:tcPr>
            <w:tcW w:type="dxa" w:w="295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~11,7 Mrd. USD (2024)</w:t>
            </w:r>
          </w:p>
        </w:tc>
        <w:tc>
          <w:tcPr>
            <w:tcW w:type="dxa" w:w="20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market.us (2024)</w:t>
            </w:r>
          </w:p>
        </w:tc>
      </w:tr>
      <w:tr>
        <w:tc>
          <w:tcPr>
            <w:tcW w:type="dxa" w:w="462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EdTech-Sprachlernmarkt (Wachstum)</w:t>
            </w:r>
          </w:p>
        </w:tc>
        <w:tc>
          <w:tcPr>
            <w:tcW w:type="dxa" w:w="2954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CAGR ~27 %</w:t>
            </w:r>
          </w:p>
        </w:tc>
        <w:tc>
          <w:tcPr>
            <w:tcW w:type="dxa" w:w="2055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market.us (2024)</w:t>
            </w:r>
          </w:p>
        </w:tc>
      </w:tr>
      <w:tr>
        <w:tc>
          <w:tcPr>
            <w:tcW w:type="dxa" w:w="462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Connected-Toys-Markt (Wachstum)</w:t>
            </w:r>
          </w:p>
        </w:tc>
        <w:tc>
          <w:tcPr>
            <w:tcW w:type="dxa" w:w="295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CAGR ~19–25 %</w:t>
            </w:r>
          </w:p>
        </w:tc>
        <w:tc>
          <w:tcPr>
            <w:tcW w:type="dxa" w:w="20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market.us (2024)</w:t>
            </w:r>
          </w:p>
        </w:tc>
      </w:tr>
      <w:tr>
        <w:tc>
          <w:tcPr>
            <w:tcW w:type="dxa" w:w="462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Validierung bildschirmfreies Audio (Tonies SE)</w:t>
            </w:r>
          </w:p>
        </w:tc>
        <w:tc>
          <w:tcPr>
            <w:tcW w:type="dxa" w:w="2954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~480 Mio. EUR Umsatz, &gt;8 Mio. Boxen</w:t>
            </w:r>
          </w:p>
        </w:tc>
        <w:tc>
          <w:tcPr>
            <w:tcW w:type="dxa" w:w="2055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tonies SE FY2024</w:t>
            </w:r>
          </w:p>
        </w:tc>
      </w:tr>
      <w:tr>
        <w:tc>
          <w:tcPr>
            <w:tcW w:type="dxa" w:w="462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B2B-Indikator: Primarschüler EU mit Fremdsprachenunterricht</w:t>
            </w:r>
          </w:p>
        </w:tc>
        <w:tc>
          <w:tcPr>
            <w:tcW w:type="dxa" w:w="295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~25 Mio. / ~84 %</w:t>
            </w:r>
          </w:p>
        </w:tc>
        <w:tc>
          <w:tcPr>
            <w:tcW w:type="dxa" w:w="20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Eurostat (2017/2022)</w:t>
            </w:r>
          </w:p>
        </w:tc>
      </w:tr>
    </w:tbl>
    <w:p>
      <w:pPr>
        <w:spacing w:after="40"/>
      </w:pPr>
    </w:p>
    <w:p>
      <w:r>
        <w:rPr>
          <w:b w:val="0"/>
          <w:i w:val="0"/>
        </w:rPr>
        <w:t>Der Tonies-Erfolg belegt Zahlungsbereitschaft und Skalierbarkeit des bildschirmfreien Kinder-Audio-Markts — allerdings einsprachig/passiv. Plappi besetzt denselben Wachstumskorridor und ergänzt ihn um die fehlende Sprachlern-Tiefe.</w:t>
      </w:r>
    </w:p>
    <w:p>
      <w:pPr>
        <w:pStyle w:val="Heading2"/>
      </w:pPr>
      <w:r>
        <w:t>3.2  Zielgruppen und Marktsegmente</w:t>
      </w:r>
    </w:p>
    <w:p>
      <w:pPr>
        <w:pStyle w:val="ListBullet"/>
        <w:spacing w:after="60"/>
      </w:pPr>
      <w:r>
        <w:rPr>
          <w:b/>
        </w:rPr>
        <w:t>Bilinguale/mehrsprachige Familien</w:t>
      </w:r>
      <w:r>
        <w:rPr>
          <w:b w:val="0"/>
        </w:rPr>
        <w:t xml:space="preserve"> (ein Elternteil spricht die Zweitsprache nicht) — Kernbedarf.</w:t>
      </w:r>
    </w:p>
    <w:p>
      <w:pPr>
        <w:pStyle w:val="ListBullet"/>
        <w:spacing w:after="60"/>
      </w:pPr>
      <w:r>
        <w:rPr>
          <w:b/>
        </w:rPr>
        <w:t>Bildungsorientierte Eltern</w:t>
      </w:r>
      <w:r>
        <w:rPr>
          <w:b w:val="0"/>
        </w:rPr>
        <w:t xml:space="preserve"> mit Frühfremdsprach-Wunsch, die Bildschirmzeit vermeiden wollen.</w:t>
      </w:r>
    </w:p>
    <w:p>
      <w:pPr>
        <w:pStyle w:val="ListBullet"/>
        <w:spacing w:after="60"/>
      </w:pPr>
      <w:r>
        <w:rPr>
          <w:b/>
        </w:rPr>
        <w:t>Datenschutzbewusste Eltern</w:t>
      </w:r>
      <w:r>
        <w:rPr>
          <w:b w:val="0"/>
        </w:rPr>
        <w:t>, die KI-Produkte ohne Daten-Sharing suchen.</w:t>
      </w:r>
    </w:p>
    <w:p>
      <w:pPr>
        <w:pStyle w:val="ListBullet"/>
        <w:spacing w:after="60"/>
      </w:pPr>
      <w:r>
        <w:rPr>
          <w:b/>
        </w:rPr>
        <w:t>B2B — Bildungseinrichtungen</w:t>
      </w:r>
      <w:r>
        <w:rPr>
          <w:b w:val="0"/>
        </w:rPr>
        <w:t xml:space="preserve"> (Volks-/Grundschulen, Sprachschulen, KiTa-Träger, Sprachförder-/EU-Inklusionsprogramme): datenschutzkonforme, lehrer:innen-steuerbare Sprachübungs-Hardware (Curricular-Sync).</w:t>
      </w:r>
    </w:p>
    <w:p>
      <w:pPr>
        <w:pStyle w:val="Heading2"/>
      </w:pPr>
      <w:r>
        <w:t>3.3  Wettbewerbsanalyse und Markteintrittsbarrieren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1"/>
        <w:gridCol w:w="3211"/>
        <w:gridCol w:w="3211"/>
      </w:tblGrid>
      <w:tr>
        <w:tc>
          <w:tcPr>
            <w:tcW w:type="dxa" w:w="2954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Wettbewerber</w:t>
            </w:r>
          </w:p>
        </w:tc>
        <w:tc>
          <w:tcPr>
            <w:tcW w:type="dxa" w:w="3339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Stärke</w:t>
            </w:r>
          </w:p>
        </w:tc>
        <w:tc>
          <w:tcPr>
            <w:tcW w:type="dxa" w:w="3339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Schwäche aus Kundensicht</w:t>
            </w:r>
          </w:p>
        </w:tc>
      </w:tr>
      <w:tr>
        <w:tc>
          <w:tcPr>
            <w:tcW w:type="dxa" w:w="295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Audio-Lernspielzeug (Tonies, tiptoi)</w:t>
            </w:r>
          </w:p>
        </w:tc>
        <w:tc>
          <w:tcPr>
            <w:tcW w:type="dxa" w:w="333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hoher Marktanteil, starke Marke, bildschirmfrei</w:t>
            </w:r>
          </w:p>
        </w:tc>
        <w:tc>
          <w:tcPr>
            <w:tcW w:type="dxa" w:w="333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einsprachig, passiv, kein Dialog/Adaptivität</w:t>
            </w:r>
          </w:p>
        </w:tc>
      </w:tr>
      <w:tr>
        <w:tc>
          <w:tcPr>
            <w:tcW w:type="dxa" w:w="2954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Sprachlern-Apps (Duolingo, Lingokids)</w:t>
            </w:r>
          </w:p>
        </w:tc>
        <w:tc>
          <w:tcPr>
            <w:tcW w:type="dxa" w:w="3339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interaktiv/adaptiv</w:t>
            </w:r>
          </w:p>
        </w:tc>
        <w:tc>
          <w:tcPr>
            <w:tcW w:type="dxa" w:w="3339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bildschirmgebunden, Cloud-LLM/Daten-Sharing, für Kleinkinder ungeeignet</w:t>
            </w:r>
          </w:p>
        </w:tc>
      </w:tr>
      <w:tr>
        <w:tc>
          <w:tcPr>
            <w:tcW w:type="dxa" w:w="295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Smart Speaker (Alexa, Google)</w:t>
            </w:r>
          </w:p>
        </w:tc>
        <w:tc>
          <w:tcPr>
            <w:tcW w:type="dxa" w:w="333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freie Sprache</w:t>
            </w:r>
          </w:p>
        </w:tc>
        <w:tc>
          <w:tcPr>
            <w:tcW w:type="dxa" w:w="333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nicht kindzentriert, nicht pädagogisch, cloud-/datengetrieben</w:t>
            </w:r>
          </w:p>
        </w:tc>
      </w:tr>
      <w:tr>
        <w:tc>
          <w:tcPr>
            <w:tcW w:type="dxa" w:w="2954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sz w:val="18"/>
              </w:rPr>
              <w:t>Plappi</w:t>
            </w:r>
          </w:p>
        </w:tc>
        <w:tc>
          <w:tcPr>
            <w:tcW w:type="dxa" w:w="3339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sz w:val="18"/>
              </w:rPr>
              <w:t>bildschirmfrei + mehrsprachig-aktiv + datensouverän + wissenschaftlich fundiert</w:t>
            </w:r>
          </w:p>
        </w:tc>
        <w:tc>
          <w:tcPr>
            <w:tcW w:type="dxa" w:w="3339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Marktneuling (Marken-/Vertrauensaufbau nötig)</w:t>
            </w:r>
          </w:p>
        </w:tc>
      </w:tr>
    </w:tbl>
    <w:p>
      <w:pPr>
        <w:spacing w:after="40"/>
      </w:pPr>
    </w:p>
    <w:p>
      <w:pPr>
        <w:spacing w:after="40"/>
      </w:pPr>
      <w:r>
        <w:rPr>
          <w:b/>
          <w:i w:val="0"/>
        </w:rPr>
        <w:t>Markteintrittsbarrieren und Reaktion: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6"/>
        <w:gridCol w:w="4816"/>
      </w:tblGrid>
      <w:tr>
        <w:tc>
          <w:tcPr>
            <w:tcW w:type="dxa" w:w="3853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Barriere</w:t>
            </w:r>
          </w:p>
        </w:tc>
        <w:tc>
          <w:tcPr>
            <w:tcW w:type="dxa" w:w="5779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Reaktion</w:t>
            </w:r>
          </w:p>
        </w:tc>
      </w:tr>
      <w:tr>
        <w:tc>
          <w:tcPr>
            <w:tcW w:type="dxa" w:w="385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Technologie/Daten (hohe F&amp;E-Hürde Kinder-ASR)</w:t>
            </w:r>
          </w:p>
        </w:tc>
        <w:tc>
          <w:tcPr>
            <w:tcW w:type="dxa" w:w="577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wird selbst zum Burggraben (proprietäre Modelle/Daten, Lead-Time)</w:t>
            </w:r>
          </w:p>
        </w:tc>
      </w:tr>
      <w:tr>
        <w:tc>
          <w:tcPr>
            <w:tcW w:type="dxa" w:w="385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Kapitalbedarf Hardware</w:t>
            </w:r>
          </w:p>
        </w:tc>
        <w:tc>
          <w:tcPr>
            <w:tcW w:type="dxa" w:w="5779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Förder-Stack (FFG/aws/Wien) + Kickstarter-Vorfinanzierung</w:t>
            </w:r>
          </w:p>
        </w:tc>
      </w:tr>
      <w:tr>
        <w:tc>
          <w:tcPr>
            <w:tcW w:type="dxa" w:w="385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Hardware-Zertifizierung (CE/EN71/RED)</w:t>
            </w:r>
          </w:p>
        </w:tc>
        <w:tc>
          <w:tcPr>
            <w:tcW w:type="dxa" w:w="577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früh eingeplant; Vorbereitung im aws-WP, volle Zertifizierung über Wien</w:t>
            </w:r>
          </w:p>
        </w:tc>
      </w:tr>
      <w:tr>
        <w:tc>
          <w:tcPr>
            <w:tcW w:type="dxa" w:w="385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Marke/Vertrauen</w:t>
            </w:r>
          </w:p>
        </w:tc>
        <w:tc>
          <w:tcPr>
            <w:tcW w:type="dxa" w:w="5779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Datenschutz-Positionierung, Kickstarter-Community, Wortmarken-Schutz</w:t>
            </w:r>
          </w:p>
        </w:tc>
      </w:tr>
    </w:tbl>
    <w:p>
      <w:pPr>
        <w:spacing w:after="40"/>
      </w:pPr>
    </w:p>
    <w:p>
      <w:r>
        <w:rPr>
          <w:b/>
          <w:i w:val="0"/>
        </w:rPr>
        <w:t>Reaktion etablierter Anbieter:</w:t>
      </w:r>
      <w:r>
        <w:rPr>
          <w:b w:val="0"/>
          <w:i w:val="0"/>
        </w:rPr>
        <w:t xml:space="preserve"> Ein Eintritt von Tonies o. ä. in interaktive Sprach-KI würde Kinder-ASR-Kompetenz, private Inferenz und einen Datenschutz-by-design-Stack erfordern, die Plappi als datengetriebenen Lead-Time-Vorsprung aufbaut. Die regulatorische Strenge bei Kinderdaten erhöht die Eintrittshürde für cloud-/datengetriebene Player zusätzlich.</w:t>
      </w:r>
    </w:p>
    <w:p>
      <w:pPr>
        <w:pStyle w:val="Heading2"/>
      </w:pPr>
      <w:r>
        <w:t>3.4  Marktpositionierung</w:t>
      </w:r>
    </w:p>
    <w:p>
      <w:r>
        <w:rPr>
          <w:b w:val="0"/>
          <w:i w:val="0"/>
        </w:rPr>
        <w:t xml:space="preserve">Plappi positioniert sich als der </w:t>
      </w:r>
      <w:r>
        <w:rPr>
          <w:b/>
          <w:i w:val="0"/>
        </w:rPr>
        <w:t>datensouveräne, bildschirmfreie, mehrsprachige „Tonies-Nachfolger” für aktives Sprachenlernen</w:t>
      </w:r>
      <w:r>
        <w:rPr>
          <w:b w:val="0"/>
          <w:i w:val="0"/>
        </w:rPr>
        <w:t>: Erstmarkt DACH → EU → USA (analog zur internationalen Tonies-Skalierung). Markttrends (Datenschutz-Sensibilität, Reduktion von Screen-Time, Akzeptanz vernetzter Audio-Hardware) stützen die Nachfrage.</w:t>
      </w:r>
    </w:p>
    <w:p>
      <w:r>
        <w:br w:type="page"/>
      </w:r>
    </w:p>
    <w:p>
      <w:pPr>
        <w:pStyle w:val="Heading1"/>
      </w:pPr>
      <w:r>
        <w:t>4.  Marketing und Vertrieb</w:t>
      </w:r>
    </w:p>
    <w:p>
      <w:r>
        <w:rPr>
          <w:b/>
          <w:i w:val="0"/>
        </w:rPr>
        <w:t>Validierung und Vorfinanzierung — Kickstarter.</w:t>
      </w:r>
      <w:r>
        <w:rPr>
          <w:b w:val="0"/>
          <w:i w:val="0"/>
        </w:rPr>
        <w:t xml:space="preserve"> Launch </w:t>
      </w:r>
      <w:r>
        <w:rPr>
          <w:b/>
          <w:i w:val="0"/>
        </w:rPr>
        <w:t>24.06.2026</w:t>
      </w:r>
      <w:r>
        <w:rPr>
          <w:b w:val="0"/>
          <w:i w:val="0"/>
        </w:rPr>
        <w:t xml:space="preserve">, 60-Tage-Kampagne, Ziel </w:t>
      </w:r>
      <w:r>
        <w:rPr>
          <w:b/>
          <w:i w:val="0"/>
        </w:rPr>
        <w:t>115.000 EUR</w:t>
      </w:r>
      <w:r>
        <w:rPr>
          <w:b w:val="0"/>
          <w:i w:val="0"/>
        </w:rPr>
        <w:t xml:space="preserve"> (Alles-oder-Nichts). Dient als Marktvalidierung (Vorbestellungen als Nachfragebeleg), Vorfinanzierung der Erstcharge und Community-Aufbau. Eine Interessenten-/Warteliste (helloplappi.com) liefert die Launch-Munition.</w:t>
      </w:r>
    </w:p>
    <w:p>
      <w:r>
        <w:rPr>
          <w:b/>
          <w:i w:val="0"/>
        </w:rPr>
        <w:t>Vertriebskanäle.</w:t>
      </w:r>
      <w:r>
        <w:rPr>
          <w:b w:val="0"/>
          <w:i w:val="0"/>
        </w:rPr>
        <w:t xml:space="preserve"> Primär D2C (eigener Webshop, Kickstarter-Backer-Basis), ergänzt um Online-Marktplätze; mittelfristig Fach-/Einzelhandel (Spielwaren/Bildung) und Bildungs-Distributoren. Zweite Schiene B2B (Bildungseinrichtungen, Curricular-Sync/Hausaufgaben-Modus).</w:t>
      </w:r>
    </w:p>
    <w:p>
      <w:r>
        <w:rPr>
          <w:b/>
          <w:i w:val="0"/>
        </w:rPr>
        <w:t>Geografie.</w:t>
      </w:r>
      <w:r>
        <w:rPr>
          <w:b w:val="0"/>
          <w:i w:val="0"/>
        </w:rPr>
        <w:t xml:space="preserve"> DACH → EU → USA.</w:t>
      </w:r>
    </w:p>
    <w:p>
      <w:r>
        <w:rPr>
          <w:b/>
          <w:i w:val="0"/>
        </w:rPr>
        <w:t>Preismodell.</w:t>
      </w:r>
      <w:r>
        <w:rPr>
          <w:b w:val="0"/>
          <w:i w:val="0"/>
        </w:rPr>
        <w:t xml:space="preserve"> Gerät ~90 EUR (im Bereich einer Toniebox, marktüblich) + Abo ~9,90 EUR/Monat (refinanziert laufende Inferenz-/Content-Kosten, konkurrenzfähig zu kostenpflichtigen Sprachlern-Apps bei deutlich größerem Funktionsumfang). Razor-and-Blade: der wiederkehrende, margenstarke Abo-Erlös wächst mit der aktiven Installationsbasis.</w:t>
      </w:r>
    </w:p>
    <w:p>
      <w:r>
        <w:rPr>
          <w:b/>
          <w:i w:val="0"/>
        </w:rPr>
        <w:t>Marketing-Narrativ.</w:t>
      </w:r>
      <w:r>
        <w:rPr>
          <w:b w:val="0"/>
          <w:i w:val="0"/>
        </w:rPr>
        <w:t xml:space="preserve"> Datenschutz, Bildung, Mehrsprachigkeit; Eltern-Communities, PR, Datenschutz-/Bildungs-Story. Marketing-/Vertriebsbudgets werden nach Produktvalidierung aus Folgeförderungen, Kickstarter-Erlösen und ggf. Investorenkapital aufgebaut.</w:t>
      </w:r>
    </w:p>
    <w:p>
      <w:r>
        <w:br w:type="page"/>
      </w:r>
    </w:p>
    <w:p>
      <w:pPr>
        <w:pStyle w:val="Heading1"/>
      </w:pPr>
      <w:r>
        <w:t>5.  Unternehmen und Management</w:t>
      </w:r>
    </w:p>
    <w:p>
      <w:pPr>
        <w:pStyle w:val="Heading2"/>
      </w:pPr>
      <w:r>
        <w:t>5.1  Informationen zum (geplanten) Unternehmen</w:t>
      </w:r>
    </w:p>
    <w:p>
      <w:r>
        <w:rPr>
          <w:b/>
          <w:i w:val="0"/>
        </w:rPr>
        <w:t>Plappi FlexCo (Flexible Kapitalgesellschaft, in Gründung), Sitz Wien (Esslinggasse 5/Top 1, 1010 Wien). Der Antrag wird durch die natürliche Person Nemanja Klincov als „in Gründung” gestellt; die Gründung der FlexCo erfolgt nach aws-Zustimmung. [TODO: Stammkapital-Höhe; Gesellschafterstruktur; ggf. Ersteintragungsdatum, falls FlexCo bereits eingetragen — Programmregel: Ersteintragung max. 6 Monate alt] Geplante Gesellschafterstruktur: Nemanja Klincov 70 %, Katharina Klincov 30 % (Mitgründerin/GF). [Stammkapital-Höhe vor Gründung festzulegen.]</w:t>
      </w:r>
      <w:r>
        <w:rPr>
          <w:b w:val="0"/>
          <w:i w:val="0"/>
        </w:rPr>
      </w:r>
    </w:p>
    <w:p>
      <w:pPr>
        <w:pStyle w:val="Heading2"/>
      </w:pPr>
      <w:r>
        <w:t>5.2  Management und Gründungsteam</w:t>
      </w:r>
    </w:p>
    <w:p>
      <w:r>
        <w:rPr>
          <w:b/>
          <w:i w:val="0"/>
        </w:rPr>
        <w:t>Gründer/Geschäftsführer: Nemanja Klincov</w:t>
      </w:r>
      <w:r>
        <w:rPr>
          <w:b w:val="0"/>
          <w:i w:val="0"/>
        </w:rPr>
        <w:t xml:space="preserve"> — einschlägiger KI/ML-Track-Record (Hintergrund BReact, EU-Tender-erprobt). Hat in eigenfinanzierter Vorarbeit den funktionsfähigen Plappi-Prototyp entwickelt (Eignungs- und De-Risking-Beleg). Verantwortet KI-/Produktstrategie und Gesamtleitung. [TODO: exakte BReact-KMU-Zahlen für die KMU-Erklärung im aws-Fördermanager]</w:t>
      </w:r>
    </w:p>
    <w:p>
      <w:pPr>
        <w:spacing w:after="40"/>
      </w:pPr>
      <w:r>
        <w:rPr>
          <w:b/>
          <w:i w:val="0"/>
        </w:rPr>
        <w:t>Geplante Schlüsselrollen (aus dem Vorhaben zu besetzen):</w:t>
      </w:r>
    </w:p>
    <w:p>
      <w:pPr>
        <w:pStyle w:val="ListBullet"/>
        <w:spacing w:after="60"/>
      </w:pPr>
      <w:r>
        <w:rPr>
          <w:b/>
        </w:rPr>
        <w:t>Embedded-/Hardware-Engineer</w:t>
      </w:r>
      <w:r>
        <w:rPr>
          <w:b w:val="0"/>
        </w:rPr>
        <w:t xml:space="preserve"> — verantwortet das hier beantragte Hardware-WP (Elektronik, Mikrofonarray, Firmware, Vorserien-Prototyp).</w:t>
      </w:r>
    </w:p>
    <w:p>
      <w:pPr>
        <w:pStyle w:val="ListBullet"/>
        <w:spacing w:after="60"/>
      </w:pPr>
      <w:r>
        <w:rPr>
          <w:b/>
        </w:rPr>
        <w:t>ML-/Speech-Engineer</w:t>
      </w:r>
      <w:r>
        <w:rPr>
          <w:b w:val="0"/>
        </w:rPr>
        <w:t xml:space="preserve"> — Kinder-ASR/TTS, private Inferenz (über das parallele FFG-WP geführt).</w:t>
      </w:r>
    </w:p>
    <w:p>
      <w:r>
        <w:rPr>
          <w:b/>
          <w:i w:val="0"/>
        </w:rPr>
        <w:t>Gender-Bonus (in Anspruch genommen). Mitgründerin und Geschäftsführerin Katharina Klincov hält 30 % der Geschäftsanteile (&gt;25 %) und ist leitend (&gt;50 % der Normalarbeitszeit) tätig. Vorhabensrelevante Qualifikation: MSc Marketing &amp; Business Management, akademische Marketing- &amp; Sales-Managerin sowie mehrjährige Geschäftsführungs-/Gründungserfahrung (GF &amp; Co-Founderin der Oluolu Online Agency GmbH, 2020–2024). Sie verantwortet Marketing, Vertrieb, Markenaufbau und kaufmännische Leitung — komplementär zur KI-/Technik-Führung von Nemanja Klincov. Wirkung: Förderquote 80→90 %, Höchstbetrag bis 300.000 EUR (effektiv ~82 % der ~364.000 EUR Kosten); Eigenmittel ~64.000 EUR (~18 %). CV als Qualifikationsnachweis beigelegt.</w:t>
      </w:r>
      <w:r>
        <w:rPr>
          <w:b w:val="0"/>
          <w:i w:val="0"/>
        </w:rPr>
      </w:r>
    </w:p>
    <w:p>
      <w:r>
        <w:rPr>
          <w:b/>
          <w:i w:val="0"/>
        </w:rPr>
        <w:t>CVs:</w:t>
      </w:r>
      <w:r>
        <w:rPr>
          <w:b w:val="0"/>
          <w:i w:val="0"/>
        </w:rPr>
        <w:t xml:space="preserve"> Gründer + Schlüsselpersonen (nicht das gesamte Personal) werden beigelegt.</w:t>
      </w:r>
    </w:p>
    <w:p>
      <w:pPr>
        <w:pStyle w:val="Heading2"/>
      </w:pPr>
      <w:r>
        <w:t>5.3  Kooperationen</w:t>
      </w:r>
    </w:p>
    <w:p>
      <w:r>
        <w:rPr>
          <w:b w:val="0"/>
          <w:i w:val="0"/>
        </w:rPr>
        <w:t xml:space="preserve">Optional </w:t>
      </w:r>
      <w:r>
        <w:rPr>
          <w:b/>
          <w:i w:val="0"/>
        </w:rPr>
        <w:t>Forschungskooperation mit dem Fraunhofer-Institut (Bereich KI4LIFE)</w:t>
      </w:r>
      <w:r>
        <w:rPr>
          <w:b w:val="0"/>
          <w:i w:val="0"/>
        </w:rPr>
        <w:t xml:space="preserve"> zur wissenschaftlichen Absicherung der Kinder-ASR-Methodik und der Lernwirksamkeits-Evaluierung (derzeit in Abstimmung). </w:t>
      </w:r>
      <w:r>
        <w:rPr>
          <w:b/>
          <w:i w:val="0"/>
        </w:rPr>
        <w:t>BReact</w:t>
      </w:r>
      <w:r>
        <w:rPr>
          <w:b w:val="0"/>
          <w:i w:val="0"/>
        </w:rPr>
        <w:t xml:space="preserve"> wirkt als Kompetenz-/Backing-Partner. Für die Guardrail-/Kinderschutz-Validierung sind Kooperationen mit Saferinternet.at/ÖIAT und pädagogischen Hochschulen vorgesehen.</w:t>
      </w:r>
    </w:p>
    <w:p>
      <w:r>
        <w:br w:type="page"/>
      </w:r>
    </w:p>
    <w:p>
      <w:pPr>
        <w:pStyle w:val="Heading1"/>
      </w:pPr>
      <w:r>
        <w:t>6.  Status quo und integrale Planung</w:t>
      </w:r>
    </w:p>
    <w:p>
      <w:pPr>
        <w:pStyle w:val="Heading2"/>
      </w:pPr>
      <w:r>
        <w:t>6.1  Status quo / De-Risking</w:t>
      </w:r>
    </w:p>
    <w:p>
      <w:pPr>
        <w:pStyle w:val="ListBullet"/>
        <w:spacing w:after="60"/>
      </w:pPr>
      <w:r>
        <w:rPr>
          <w:b/>
        </w:rPr>
        <w:t>Funktionsfähiger, eigenfinanzierter Prototyp</w:t>
      </w:r>
      <w:r>
        <w:rPr>
          <w:b w:val="0"/>
        </w:rPr>
        <w:t xml:space="preserve"> vorhanden: Hardware-/Software-Demonstrator (Raspberry-Pi-basiert, Mikrofon + Sprachausgabe) zeigt bildschirmfreien Zwei-Wege-Sprachdialog und erste mehrsprachige, dynamisch generierte Geschichten; läuft bereits auf einem privaten Inferenz-Stack. Belegt die grundsätzliche Machbarkeit und de-riskt das Vorhaben.</w:t>
      </w:r>
    </w:p>
    <w:p>
      <w:pPr>
        <w:pStyle w:val="ListBullet"/>
        <w:spacing w:after="60"/>
      </w:pPr>
      <w:r>
        <w:rPr>
          <w:b/>
        </w:rPr>
        <w:t>Website + Warteliste live</w:t>
      </w:r>
      <w:r>
        <w:rPr>
          <w:b w:val="0"/>
        </w:rPr>
        <w:t xml:space="preserve"> (helloplappi.com).</w:t>
      </w:r>
    </w:p>
    <w:p>
      <w:pPr>
        <w:pStyle w:val="ListBullet"/>
        <w:spacing w:after="60"/>
      </w:pPr>
      <w:r>
        <w:rPr>
          <w:b/>
        </w:rPr>
        <w:t>Kickstarter eingereicht</w:t>
      </w:r>
      <w:r>
        <w:rPr>
          <w:b w:val="0"/>
        </w:rPr>
        <w:t xml:space="preserve"> (Launch 24.06.2026).</w:t>
      </w:r>
    </w:p>
    <w:p>
      <w:pPr>
        <w:pStyle w:val="ListBullet"/>
        <w:spacing w:after="60"/>
      </w:pPr>
      <w:r>
        <w:rPr>
          <w:b/>
        </w:rPr>
        <w:t>FFG-Basisprogramm</w:t>
      </w:r>
      <w:r>
        <w:rPr>
          <w:b w:val="0"/>
        </w:rPr>
        <w:t xml:space="preserve"> (KI-Kern) eingereicht (Antrag 71545616, 2026-06-09).</w:t>
      </w:r>
    </w:p>
    <w:p>
      <w:r>
        <w:rPr>
          <w:b w:val="0"/>
          <w:i w:val="0"/>
        </w:rPr>
        <w:t xml:space="preserve">→ Das Vorhaben ist bereit für die </w:t>
      </w:r>
      <w:r>
        <w:rPr>
          <w:b/>
          <w:i w:val="0"/>
        </w:rPr>
        <w:t>Hardware-Industrialisierung</w:t>
      </w:r>
      <w:r>
        <w:rPr>
          <w:b w:val="0"/>
          <w:i w:val="0"/>
        </w:rPr>
        <w:t xml:space="preserve"> (Gegenstand dieses aws-Antrags).</w:t>
      </w:r>
    </w:p>
    <w:p>
      <w:pPr>
        <w:pStyle w:val="Heading2"/>
      </w:pPr>
      <w:r>
        <w:t>6.2  Integrale Planung — Hardware-Arbeitspakete (12–18 Monate, meilensteinbasiert)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8"/>
        <w:gridCol w:w="2408"/>
        <w:gridCol w:w="2408"/>
        <w:gridCol w:w="2408"/>
      </w:tblGrid>
      <w:tr>
        <w:tc>
          <w:tcPr>
            <w:tcW w:type="dxa" w:w="2055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AP</w:t>
            </w:r>
          </w:p>
        </w:tc>
        <w:tc>
          <w:tcPr>
            <w:tcW w:type="dxa" w:w="2569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Inhalt</w:t>
            </w:r>
          </w:p>
        </w:tc>
        <w:tc>
          <w:tcPr>
            <w:tcW w:type="dxa" w:w="3211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Wesentliche Tätigkeiten</w:t>
            </w:r>
          </w:p>
        </w:tc>
        <w:tc>
          <w:tcPr>
            <w:tcW w:type="dxa" w:w="1798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Meilenstein</w:t>
            </w:r>
          </w:p>
        </w:tc>
      </w:tr>
      <w:tr>
        <w:tc>
          <w:tcPr>
            <w:tcW w:type="dxa" w:w="20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H1 Industriedesign</w:t>
            </w:r>
          </w:p>
        </w:tc>
        <w:tc>
          <w:tcPr>
            <w:tcW w:type="dxa" w:w="256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kindgerechtes Gehäuse, Ergonomie, DfM</w:t>
            </w:r>
          </w:p>
        </w:tc>
        <w:tc>
          <w:tcPr>
            <w:tcW w:type="dxa" w:w="321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Konzept, Ergonomie/Sicherheit, Materialwahl, CAD</w:t>
            </w:r>
          </w:p>
        </w:tc>
        <w:tc>
          <w:tcPr>
            <w:tcW w:type="dxa" w:w="179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Designfreeze</w:t>
            </w:r>
          </w:p>
        </w:tc>
      </w:tr>
      <w:tr>
        <w:tc>
          <w:tcPr>
            <w:tcW w:type="dxa" w:w="2055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H2 Elektronik</w:t>
            </w:r>
          </w:p>
        </w:tc>
        <w:tc>
          <w:tcPr>
            <w:tcW w:type="dxa" w:w="2569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Mikrofonarray/Beamforming, Recheneinheit, PCB</w:t>
            </w:r>
          </w:p>
        </w:tc>
        <w:tc>
          <w:tcPr>
            <w:tcW w:type="dxa" w:w="3211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Schaltungsdesign, Array-Geometrie, SoC-Auswahl, PCB-Layout</w:t>
            </w:r>
          </w:p>
        </w:tc>
        <w:tc>
          <w:tcPr>
            <w:tcW w:type="dxa" w:w="1798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Funktions-PCB</w:t>
            </w:r>
          </w:p>
        </w:tc>
      </w:tr>
      <w:tr>
        <w:tc>
          <w:tcPr>
            <w:tcW w:type="dxa" w:w="20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H3 Firmware</w:t>
            </w:r>
          </w:p>
        </w:tc>
        <w:tc>
          <w:tcPr>
            <w:tcW w:type="dxa" w:w="256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Embedded-Firmware, Audio-Pipeline, Konnektivität</w:t>
            </w:r>
          </w:p>
        </w:tc>
        <w:tc>
          <w:tcPr>
            <w:tcW w:type="dxa" w:w="321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Audio-Erfassung, Edge-/Server-Schnittstelle, OTA-Update</w:t>
            </w:r>
          </w:p>
        </w:tc>
        <w:tc>
          <w:tcPr>
            <w:tcW w:type="dxa" w:w="179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Firmware-Integration</w:t>
            </w:r>
          </w:p>
        </w:tc>
      </w:tr>
      <w:tr>
        <w:tc>
          <w:tcPr>
            <w:tcW w:type="dxa" w:w="2055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H4 Vorserien-Prototypen</w:t>
            </w:r>
          </w:p>
        </w:tc>
        <w:tc>
          <w:tcPr>
            <w:tcW w:type="dxa" w:w="2569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iterative Prototypen, Tests im realen Haushalt</w:t>
            </w:r>
          </w:p>
        </w:tc>
        <w:tc>
          <w:tcPr>
            <w:tcW w:type="dxa" w:w="3211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Bau, Fernfeld-Audiotests, Iteration</w:t>
            </w:r>
          </w:p>
        </w:tc>
        <w:tc>
          <w:tcPr>
            <w:tcW w:type="dxa" w:w="1798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validierter Vorserien-Prototyp</w:t>
            </w:r>
          </w:p>
        </w:tc>
      </w:tr>
      <w:tr>
        <w:tc>
          <w:tcPr>
            <w:tcW w:type="dxa" w:w="20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H5 Zertifizierungs-Vorbereitung</w:t>
            </w:r>
          </w:p>
        </w:tc>
        <w:tc>
          <w:tcPr>
            <w:tcW w:type="dxa" w:w="256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Design gegen CE/EN71/EN62115/RED ausrichten</w:t>
            </w:r>
          </w:p>
        </w:tc>
        <w:tc>
          <w:tcPr>
            <w:tcW w:type="dxa" w:w="321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Normen-Gap-Analyse, Vorab-Prüfungen, Doku (volle Zert. → Wien)</w:t>
            </w:r>
          </w:p>
        </w:tc>
        <w:tc>
          <w:tcPr>
            <w:tcW w:type="dxa" w:w="179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Zertifizierungs-Readiness</w:t>
            </w:r>
          </w:p>
        </w:tc>
      </w:tr>
    </w:tbl>
    <w:p>
      <w:pPr>
        <w:spacing w:after="40"/>
      </w:pPr>
    </w:p>
    <w:p>
      <w:pPr>
        <w:pStyle w:val="Heading2"/>
      </w:pPr>
      <w:r>
        <w:t>6.3  Kostenplan Hardware-WP (~364.000 EUR förderbar)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1"/>
        <w:gridCol w:w="3211"/>
        <w:gridCol w:w="3211"/>
      </w:tblGrid>
      <w:tr>
        <w:tc>
          <w:tcPr>
            <w:tcW w:type="dxa" w:w="4623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Position</w:t>
            </w:r>
          </w:p>
        </w:tc>
        <w:tc>
          <w:tcPr>
            <w:tcW w:type="dxa" w:w="2055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Betrag (EUR)</w:t>
            </w:r>
          </w:p>
        </w:tc>
        <w:tc>
          <w:tcPr>
            <w:tcW w:type="dxa" w:w="2954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Anmerkung</w:t>
            </w:r>
          </w:p>
        </w:tc>
      </w:tr>
      <w:tr>
        <w:tc>
          <w:tcPr>
            <w:tcW w:type="dxa" w:w="462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GF Katharina (kaufm./Marketing-Leitung, ab 02/2027)</w:t>
            </w:r>
          </w:p>
        </w:tc>
        <w:tc>
          <w:tcPr>
            <w:tcW w:type="dxa" w:w="20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120.000</w:t>
            </w:r>
          </w:p>
        </w:tc>
        <w:tc>
          <w:tcPr>
            <w:tcW w:type="dxa" w:w="295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Bezüge Gründungsteam (Gender-Bonus)</w:t>
            </w:r>
          </w:p>
        </w:tc>
      </w:tr>
      <w:tr>
        <w:tc>
          <w:tcPr>
            <w:tcW w:type="dxa" w:w="462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GF Nemanja (Hardware-/Technik-Anteil)</w:t>
            </w:r>
          </w:p>
        </w:tc>
        <w:tc>
          <w:tcPr>
            <w:tcW w:type="dxa" w:w="2055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60.000</w:t>
            </w:r>
          </w:p>
        </w:tc>
        <w:tc>
          <w:tcPr>
            <w:tcW w:type="dxa" w:w="2954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disjunkt von FFG-Stunden</w:t>
            </w:r>
          </w:p>
        </w:tc>
      </w:tr>
      <w:tr>
        <w:tc>
          <w:tcPr>
            <w:tcW w:type="dxa" w:w="462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Embedded/Hardware-Engineer</w:t>
            </w:r>
          </w:p>
        </w:tc>
        <w:tc>
          <w:tcPr>
            <w:tcW w:type="dxa" w:w="20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90.000</w:t>
            </w:r>
          </w:p>
        </w:tc>
        <w:tc>
          <w:tcPr>
            <w:tcW w:type="dxa" w:w="295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angestellt, in-house</w:t>
            </w:r>
          </w:p>
        </w:tc>
      </w:tr>
      <w:tr>
        <w:tc>
          <w:tcPr>
            <w:tcW w:type="dxa" w:w="462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Material / Komponenten / Prototypenbau</w:t>
            </w:r>
          </w:p>
        </w:tc>
        <w:tc>
          <w:tcPr>
            <w:tcW w:type="dxa" w:w="2055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65.000</w:t>
            </w:r>
          </w:p>
        </w:tc>
        <w:tc>
          <w:tcPr>
            <w:tcW w:type="dxa" w:w="2954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Mikrofonarray, PCB, Gehäuse, Iterationen</w:t>
            </w:r>
          </w:p>
        </w:tc>
      </w:tr>
      <w:tr>
        <w:tc>
          <w:tcPr>
            <w:tcW w:type="dxa" w:w="462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Reisekosten</w:t>
            </w:r>
          </w:p>
        </w:tc>
        <w:tc>
          <w:tcPr>
            <w:tcW w:type="dxa" w:w="20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19.000</w:t>
            </w:r>
          </w:p>
        </w:tc>
        <w:tc>
          <w:tcPr>
            <w:tcW w:type="dxa" w:w="295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Sourcing (China), Messen</w:t>
            </w:r>
          </w:p>
        </w:tc>
      </w:tr>
      <w:tr>
        <w:tc>
          <w:tcPr>
            <w:tcW w:type="dxa" w:w="462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Schutzrechte / IP (Wortmarke + FTO)</w:t>
            </w:r>
          </w:p>
        </w:tc>
        <w:tc>
          <w:tcPr>
            <w:tcW w:type="dxa" w:w="2055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10.000</w:t>
            </w:r>
          </w:p>
        </w:tc>
        <w:tc>
          <w:tcPr>
            <w:tcW w:type="dxa" w:w="2954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Wortmarke, FTO-Recherche</w:t>
            </w:r>
          </w:p>
        </w:tc>
      </w:tr>
      <w:tr>
        <w:tc>
          <w:tcPr>
            <w:tcW w:type="dxa" w:w="462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Summe förderbare Kosten</w:t>
            </w:r>
          </w:p>
        </w:tc>
        <w:tc>
          <w:tcPr>
            <w:tcW w:type="dxa" w:w="20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364.000</w:t>
            </w:r>
          </w:p>
        </w:tc>
        <w:tc>
          <w:tcPr>
            <w:tcW w:type="dxa" w:w="295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/>
          </w:p>
        </w:tc>
      </w:tr>
      <w:tr>
        <w:tc>
          <w:tcPr>
            <w:tcW w:type="dxa" w:w="462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aws-Zuschuss (Gender-Bonus, Höchstbetrag)</w:t>
            </w:r>
          </w:p>
        </w:tc>
        <w:tc>
          <w:tcPr>
            <w:tcW w:type="dxa" w:w="2055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300.000</w:t>
            </w:r>
          </w:p>
        </w:tc>
        <w:tc>
          <w:tcPr>
            <w:tcW w:type="dxa" w:w="2954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effektiv ~82 %</w:t>
            </w:r>
          </w:p>
        </w:tc>
      </w:tr>
      <w:tr>
        <w:tc>
          <w:tcPr>
            <w:tcW w:type="dxa" w:w="462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Eigenmittel (Cash)</w:t>
            </w:r>
          </w:p>
        </w:tc>
        <w:tc>
          <w:tcPr>
            <w:tcW w:type="dxa" w:w="20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64.000</w:t>
            </w:r>
          </w:p>
        </w:tc>
        <w:tc>
          <w:tcPr>
            <w:tcW w:type="dxa" w:w="295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~18 %, über 10 %-Minimum</w:t>
            </w:r>
          </w:p>
        </w:tc>
      </w:tr>
    </w:tbl>
    <w:p>
      <w:pPr>
        <w:spacing w:after="40"/>
      </w:pPr>
    </w:p>
    <w:p>
      <w:pPr>
        <w:pStyle w:val="Heading2"/>
      </w:pPr>
      <w:r>
        <w:t>6.4  Abgrenzung zu anderen Förderungen (Offenlegung / Doppelförderungs-Verbot)</w:t>
      </w:r>
    </w:p>
    <w:p>
      <w:r>
        <w:rPr>
          <w:b w:val="0"/>
          <w:i w:val="0"/>
        </w:rPr>
        <w:t xml:space="preserve">aws verlangt die Offenlegung anderer Förderungen. Der Förder-Stack ist nach Arbeitspaket </w:t>
      </w:r>
      <w:r>
        <w:rPr>
          <w:b/>
          <w:i w:val="0"/>
        </w:rPr>
        <w:t>disjunkt</w:t>
      </w:r>
      <w:r>
        <w:rPr>
          <w:b w:val="0"/>
          <w:i w:val="0"/>
        </w:rPr>
        <w:t xml:space="preserve"> aufgeteilt: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8"/>
        <w:gridCol w:w="2408"/>
        <w:gridCol w:w="2408"/>
        <w:gridCol w:w="2408"/>
      </w:tblGrid>
      <w:tr>
        <w:tc>
          <w:tcPr>
            <w:tcW w:type="dxa" w:w="2089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Programm</w:t>
            </w:r>
          </w:p>
        </w:tc>
        <w:tc>
          <w:tcPr>
            <w:tcW w:type="dxa" w:w="2205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Arbeitspaket</w:t>
            </w:r>
          </w:p>
        </w:tc>
        <w:tc>
          <w:tcPr>
            <w:tcW w:type="dxa" w:w="3714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Gegenstand</w:t>
            </w:r>
          </w:p>
        </w:tc>
        <w:tc>
          <w:tcPr>
            <w:tcW w:type="dxa" w:w="1625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Status</w:t>
            </w:r>
          </w:p>
        </w:tc>
      </w:tr>
      <w:tr>
        <w:tc>
          <w:tcPr>
            <w:tcW w:type="dxa" w:w="208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FFG Basisprogramm</w:t>
            </w:r>
          </w:p>
        </w:tc>
        <w:tc>
          <w:tcPr>
            <w:tcW w:type="dxa" w:w="220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WP1 — KI-Kern (F&amp;E)</w:t>
            </w:r>
          </w:p>
        </w:tc>
        <w:tc>
          <w:tcPr>
            <w:tcW w:type="dxa" w:w="371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Kinder-ASR/TTS, private Inferenz, Pädagogik-Engine, GPU/Compute, ASR-Daten</w:t>
            </w:r>
          </w:p>
        </w:tc>
        <w:tc>
          <w:tcPr>
            <w:tcW w:type="dxa" w:w="162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eingereicht (71545616)</w:t>
            </w:r>
          </w:p>
        </w:tc>
      </w:tr>
      <w:tr>
        <w:tc>
          <w:tcPr>
            <w:tcW w:type="dxa" w:w="2089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aws Preseed Deep Tech</w:t>
            </w:r>
          </w:p>
        </w:tc>
        <w:tc>
          <w:tcPr>
            <w:tcW w:type="dxa" w:w="2205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WP2 — Hardware (dieser Antrag)</w:t>
            </w:r>
          </w:p>
        </w:tc>
        <w:tc>
          <w:tcPr>
            <w:tcW w:type="dxa" w:w="3714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Industriedesign, Elektronik/Mikrofonarray, Firmware, Vorserien-Prototyp, Zert.-Vorbereitung</w:t>
            </w:r>
          </w:p>
        </w:tc>
        <w:tc>
          <w:tcPr>
            <w:tcW w:type="dxa" w:w="1625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dieser Antrag</w:t>
            </w:r>
          </w:p>
        </w:tc>
      </w:tr>
      <w:tr>
        <w:tc>
          <w:tcPr>
            <w:tcW w:type="dxa" w:w="208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Wirtschaftsagentur Wien</w:t>
            </w:r>
          </w:p>
        </w:tc>
        <w:tc>
          <w:tcPr>
            <w:tcW w:type="dxa" w:w="220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WP3 — Zertifizierung</w:t>
            </w:r>
          </w:p>
        </w:tc>
        <w:tc>
          <w:tcPr>
            <w:tcW w:type="dxa" w:w="371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volle Produktzertifizierung (Labortests CE/EN71/RED)</w:t>
            </w:r>
          </w:p>
        </w:tc>
        <w:tc>
          <w:tcPr>
            <w:tcW w:type="dxa" w:w="162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nach Gründung geplant</w:t>
            </w:r>
          </w:p>
        </w:tc>
      </w:tr>
    </w:tbl>
    <w:p>
      <w:pPr>
        <w:spacing w:after="40"/>
      </w:pPr>
    </w:p>
    <w:p>
      <w:r>
        <w:rPr>
          <w:b/>
          <w:i w:val="0"/>
        </w:rPr>
        <w:t>Trennschärfe:</w:t>
      </w:r>
      <w:r>
        <w:rPr>
          <w:b w:val="0"/>
          <w:i w:val="0"/>
        </w:rPr>
        <w:t xml:space="preserve"> Keine Kostenposition und keine Personalstunde wird doppelt gefördert; Kosten/Belege/Kostenstellen sind je Programm disjunkt. Eine Selbsterklärung „andere Förderungen” wird im aws-Antrag abgegeben. Der aws-Zuschuss zählt nicht als FFG-Eigenmittel (und umgekehrt).</w:t>
      </w:r>
    </w:p>
    <w:p>
      <w:r>
        <w:br w:type="page"/>
      </w:r>
    </w:p>
    <w:p>
      <w:pPr>
        <w:pStyle w:val="Heading1"/>
      </w:pPr>
      <w:r>
        <w:t>7.  Finanz- und Erfolgsplanung</w:t>
      </w:r>
    </w:p>
    <w:p>
      <w:pPr>
        <w:pStyle w:val="Heading2"/>
      </w:pPr>
      <w:r>
        <w:t>7.1  Umsatz-Hochlauf (Bottom-up, konsistent zum FFG-Businessplan)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6"/>
        <w:gridCol w:w="1926"/>
        <w:gridCol w:w="1926"/>
        <w:gridCol w:w="1926"/>
        <w:gridCol w:w="1926"/>
      </w:tblGrid>
      <w:tr>
        <w:tc>
          <w:tcPr>
            <w:tcW w:type="dxa" w:w="2266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Jahr (nach Markteintritt)</w:t>
            </w:r>
          </w:p>
        </w:tc>
        <w:tc>
          <w:tcPr>
            <w:tcW w:type="dxa" w:w="1700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Geräte (Stück)</w:t>
            </w:r>
          </w:p>
        </w:tc>
        <w:tc>
          <w:tcPr>
            <w:tcW w:type="dxa" w:w="1813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Geräteumsatz</w:t>
            </w:r>
          </w:p>
        </w:tc>
        <w:tc>
          <w:tcPr>
            <w:tcW w:type="dxa" w:w="2040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Abo-Erlös (kumulierend)</w:t>
            </w:r>
          </w:p>
        </w:tc>
        <w:tc>
          <w:tcPr>
            <w:tcW w:type="dxa" w:w="1813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Gesamtumsatz</w:t>
            </w:r>
          </w:p>
        </w:tc>
      </w:tr>
      <w:tr>
        <w:tc>
          <w:tcPr>
            <w:tcW w:type="dxa" w:w="2266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Jahr 1</w:t>
            </w:r>
          </w:p>
        </w:tc>
        <w:tc>
          <w:tcPr>
            <w:tcW w:type="dxa" w:w="170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~2.000</w:t>
            </w:r>
          </w:p>
        </w:tc>
        <w:tc>
          <w:tcPr>
            <w:tcW w:type="dxa" w:w="181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~200.000 EUR</w:t>
            </w:r>
          </w:p>
        </w:tc>
        <w:tc>
          <w:tcPr>
            <w:tcW w:type="dxa" w:w="204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~50.000 EUR</w:t>
            </w:r>
          </w:p>
        </w:tc>
        <w:tc>
          <w:tcPr>
            <w:tcW w:type="dxa" w:w="181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sz w:val="18"/>
              </w:rPr>
              <w:t>~250.000 EUR</w:t>
            </w:r>
          </w:p>
        </w:tc>
      </w:tr>
      <w:tr>
        <w:tc>
          <w:tcPr>
            <w:tcW w:type="dxa" w:w="2266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Jahr 3</w:t>
            </w:r>
          </w:p>
        </w:tc>
        <w:tc>
          <w:tcPr>
            <w:tcW w:type="dxa" w:w="1700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~12.000</w:t>
            </w:r>
          </w:p>
        </w:tc>
        <w:tc>
          <w:tcPr>
            <w:tcW w:type="dxa" w:w="181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040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181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sz w:val="18"/>
              </w:rPr>
              <w:t>~1,6 Mio. EUR</w:t>
            </w:r>
          </w:p>
        </w:tc>
      </w:tr>
      <w:tr>
        <w:tc>
          <w:tcPr>
            <w:tcW w:type="dxa" w:w="2266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Jahr 5</w:t>
            </w:r>
          </w:p>
        </w:tc>
        <w:tc>
          <w:tcPr>
            <w:tcW w:type="dxa" w:w="170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~30.000+</w:t>
            </w:r>
          </w:p>
        </w:tc>
        <w:tc>
          <w:tcPr>
            <w:tcW w:type="dxa" w:w="181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204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—</w:t>
            </w:r>
          </w:p>
        </w:tc>
        <w:tc>
          <w:tcPr>
            <w:tcW w:type="dxa" w:w="181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sz w:val="18"/>
              </w:rPr>
              <w:t>~5–7 Mio. EUR</w:t>
            </w:r>
          </w:p>
        </w:tc>
      </w:tr>
    </w:tbl>
    <w:p>
      <w:pPr>
        <w:spacing w:after="40"/>
      </w:pPr>
    </w:p>
    <w:p>
      <w:r>
        <w:rPr>
          <w:b w:val="0"/>
          <w:i w:val="0"/>
        </w:rPr>
        <w:t xml:space="preserve">Der wiederkehrende, margenstarke Abo-Anteil wächst mit der aktiven Installationsbasis. </w:t>
      </w:r>
      <w:r>
        <w:rPr>
          <w:b/>
          <w:i w:val="0"/>
        </w:rPr>
        <w:t>Stückkosten (BOM)</w:t>
      </w:r>
      <w:r>
        <w:rPr>
          <w:b w:val="0"/>
          <w:i w:val="0"/>
        </w:rPr>
        <w:t xml:space="preserve"> liegen bei Volumen 2–10k bei ~25–30 EUR/Gerät (Deckungsbeitrag ~60–65 EUR je Gerät); zusätzliche Deckungsbeiträge stammen aus dem skalierenden Abo bei geringen Grenzkosten der optimierten EU-Inferenz. Skaleneffekte (Compute, Content) verbessern die Rentabilität mit der Installationsbasis. [TODO: Bottom-up-Volumen nach Kickstarter-Ergebnis schärfen]</w:t>
      </w:r>
    </w:p>
    <w:p>
      <w:pPr>
        <w:pStyle w:val="Heading2"/>
      </w:pPr>
      <w:r>
        <w:t>7.2  Eigenmittel-Logik (aws-spezifisch)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8"/>
        <w:gridCol w:w="2408"/>
        <w:gridCol w:w="2408"/>
        <w:gridCol w:w="2408"/>
      </w:tblGrid>
      <w:tr>
        <w:tc>
          <w:tcPr>
            <w:tcW w:type="dxa" w:w="2493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9"/>
              </w:rPr>
              <w:t>Szenario</w:t>
            </w:r>
          </w:p>
        </w:tc>
        <w:tc>
          <w:tcPr>
            <w:tcW w:type="dxa" w:w="2040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9"/>
              </w:rPr>
              <w:t>Förderquote</w:t>
            </w:r>
          </w:p>
        </w:tc>
        <w:tc>
          <w:tcPr>
            <w:tcW w:type="dxa" w:w="2493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9"/>
              </w:rPr>
              <w:t>Zuschuss</w:t>
            </w:r>
          </w:p>
        </w:tc>
        <w:tc>
          <w:tcPr>
            <w:tcW w:type="dxa" w:w="2606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9"/>
              </w:rPr>
              <w:t>Eigenmittel (bar)</w:t>
            </w:r>
          </w:p>
        </w:tc>
      </w:tr>
      <w:tr>
        <w:tc>
          <w:tcPr>
            <w:tcW w:type="dxa" w:w="249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ohne Gender-Bonus (Fallback)</w:t>
            </w:r>
          </w:p>
        </w:tc>
        <w:tc>
          <w:tcPr>
            <w:tcW w:type="dxa" w:w="204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80 %, max 267k</w:t>
            </w:r>
          </w:p>
        </w:tc>
        <w:tc>
          <w:tcPr>
            <w:tcW w:type="dxa" w:w="249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~267.000 EUR</w:t>
            </w:r>
          </w:p>
        </w:tc>
        <w:tc>
          <w:tcPr>
            <w:tcW w:type="dxa" w:w="2606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~97.000 EUR (~27 %)</w:t>
            </w:r>
          </w:p>
        </w:tc>
      </w:tr>
      <w:tr>
        <w:tc>
          <w:tcPr>
            <w:tcW w:type="dxa" w:w="249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mit Gender-Bonus (gewählt)</w:t>
            </w:r>
          </w:p>
        </w:tc>
        <w:tc>
          <w:tcPr>
            <w:tcW w:type="dxa" w:w="2040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90 %, max 300k</w:t>
            </w:r>
          </w:p>
        </w:tc>
        <w:tc>
          <w:tcPr>
            <w:tcW w:type="dxa" w:w="249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300.000 EUR</w:t>
            </w:r>
          </w:p>
        </w:tc>
        <w:tc>
          <w:tcPr>
            <w:tcW w:type="dxa" w:w="2606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r>
              <w:t>64.000 EUR (~18 %)</w:t>
            </w:r>
          </w:p>
        </w:tc>
      </w:tr>
    </w:tbl>
    <w:p>
      <w:pPr>
        <w:spacing w:after="40"/>
      </w:pPr>
    </w:p>
    <w:p>
      <w:r>
        <w:rPr>
          <w:b/>
          <w:i w:val="0"/>
        </w:rPr>
        <w:t>Wichtig (anders als FFG):</w:t>
      </w:r>
      <w:r>
        <w:rPr>
          <w:b w:val="0"/>
          <w:i w:val="0"/>
        </w:rPr>
        <w:t xml:space="preserve"> Die aws-Eigenmittel müssen </w:t>
      </w:r>
      <w:r>
        <w:rPr>
          <w:b/>
          <w:i w:val="0"/>
        </w:rPr>
        <w:t>bar (Cash)</w:t>
      </w:r>
      <w:r>
        <w:rPr>
          <w:b w:val="0"/>
          <w:i w:val="0"/>
        </w:rPr>
        <w:t xml:space="preserve"> vorhanden sein — keine unbare Eigenleistung/Arbeitszeit anrechenbar. Nachweis über Bankbestätigung vor Auszahlung. [TODO: Eigenmittel-Cash-Quelle + Bankbeleg]</w:t>
      </w:r>
    </w:p>
    <w:p>
      <w:pPr>
        <w:pStyle w:val="Heading2"/>
      </w:pPr>
      <w:r>
        <w:t>7.3  Folgefinanzierung</w:t>
      </w:r>
    </w:p>
    <w:p>
      <w:pPr>
        <w:pStyle w:val="ListBullet"/>
        <w:spacing w:after="60"/>
      </w:pPr>
      <w:r>
        <w:rPr>
          <w:b/>
        </w:rPr>
        <w:t>Kickstarter</w:t>
      </w:r>
      <w:r>
        <w:rPr>
          <w:b w:val="0"/>
        </w:rPr>
        <w:t xml:space="preserve"> (Launch 24.06.2026, Ziel 115.000 EUR) — Vorbestellungen/Vorfinanzierung Erstcharge.</w:t>
      </w:r>
    </w:p>
    <w:p>
      <w:pPr>
        <w:pStyle w:val="ListBullet"/>
        <w:spacing w:after="60"/>
      </w:pPr>
      <w:r>
        <w:rPr>
          <w:b/>
        </w:rPr>
        <w:t>aws Seedfinancing – Deep Tech</w:t>
      </w:r>
      <w:r>
        <w:rPr>
          <w:b w:val="0"/>
        </w:rPr>
        <w:t xml:space="preserve"> (nach Gründung + abgeschlossenem Preseed): bis 889.000 EUR (Gender-Bonus 1.000.000 EUR), Zuschuss mit Gewinnbeteiligung.</w:t>
      </w:r>
    </w:p>
    <w:p>
      <w:pPr>
        <w:pStyle w:val="ListBullet"/>
        <w:spacing w:after="60"/>
      </w:pPr>
      <w:r>
        <w:rPr>
          <w:b/>
        </w:rPr>
        <w:t>EIC</w:t>
      </w:r>
      <w:r>
        <w:rPr>
          <w:b w:val="0"/>
        </w:rPr>
        <w:t xml:space="preserve"> sowie </w:t>
      </w:r>
      <w:r>
        <w:rPr>
          <w:b/>
        </w:rPr>
        <w:t>Eigenkapital/Investoren</w:t>
      </w:r>
      <w:r>
        <w:rPr>
          <w:b w:val="0"/>
        </w:rPr>
        <w:t xml:space="preserve"> für Skalierung und internationalen Roll-out.</w:t>
      </w:r>
    </w:p>
    <w:p>
      <w:r>
        <w:rPr>
          <w:b w:val="0"/>
          <w:i w:val="0"/>
        </w:rPr>
        <w:t>Das Geschäftsmodell (Gerät + Abo) trägt die laufenden Kosten mittelfristig selbst; der Markteintritt erfolgt schrittweise und förderbegleitet, sodass die Folgekosten die Leistungsfähigkeit nicht übersteigen.</w:t>
      </w:r>
    </w:p>
    <w:p>
      <w:r>
        <w:br w:type="page"/>
      </w:r>
    </w:p>
    <w:p>
      <w:pPr>
        <w:pStyle w:val="Heading1"/>
      </w:pPr>
      <w:r>
        <w:t>8.  Risiken und Herausforderungen</w:t>
      </w:r>
    </w:p>
    <w:p>
      <w:pPr>
        <w:pStyle w:val="Heading2"/>
      </w:pPr>
      <w:r>
        <w:t>8.1  SWOT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6"/>
        <w:gridCol w:w="4816"/>
      </w:tblGrid>
      <w:tr>
        <w:tc>
          <w:tcPr>
            <w:tcW w:type="dxa" w:w="4816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Stärken (Strengths)</w:t>
            </w:r>
          </w:p>
        </w:tc>
        <w:tc>
          <w:tcPr>
            <w:tcW w:type="dxa" w:w="4816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Schwächen (Weaknesses)</w:t>
            </w:r>
          </w:p>
        </w:tc>
      </w:tr>
      <w:tr>
        <w:tc>
          <w:tcPr>
            <w:tcW w:type="dxa" w:w="4816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Bildschirmfrei + mehrsprachig-aktiv + datensouverän (einzigartige Kombination)</w:t>
            </w:r>
          </w:p>
        </w:tc>
        <w:tc>
          <w:tcPr>
            <w:tcW w:type="dxa" w:w="4816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Marktneuling ohne Markenbekanntheit</w:t>
            </w:r>
          </w:p>
        </w:tc>
      </w:tr>
      <w:tr>
        <w:tc>
          <w:tcPr>
            <w:tcW w:type="dxa" w:w="4816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Datengetriebener Lead-Time-Burggraben (Kinder-ASR-Daten/Modelle)</w:t>
            </w:r>
          </w:p>
        </w:tc>
        <w:tc>
          <w:tcPr>
            <w:tcW w:type="dxa" w:w="4816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hoher Kapitalbedarf Hardware-Industrialisierung</w:t>
            </w:r>
          </w:p>
        </w:tc>
      </w:tr>
      <w:tr>
        <w:tc>
          <w:tcPr>
            <w:tcW w:type="dxa" w:w="4816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Regulatorisch zukunftssicher (DSGVO/EU-AI-Act by design)</w:t>
            </w:r>
          </w:p>
        </w:tc>
        <w:tc>
          <w:tcPr>
            <w:tcW w:type="dxa" w:w="4816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Team im Aufbau</w:t>
            </w:r>
          </w:p>
        </w:tc>
      </w:tr>
      <w:tr>
        <w:tc>
          <w:tcPr>
            <w:tcW w:type="dxa" w:w="4816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Funktionsfähiger Prototyp (De-Risking)</w:t>
            </w:r>
          </w:p>
        </w:tc>
        <w:tc>
          <w:tcPr>
            <w:tcW w:type="dxa" w:w="4816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technisches Restrisiko (Kinder-ASR, private Inferenz)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6"/>
        <w:gridCol w:w="4816"/>
      </w:tblGrid>
      <w:tr>
        <w:tc>
          <w:tcPr>
            <w:tcW w:type="dxa" w:w="4816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Chancen (Opportunities)</w:t>
            </w:r>
          </w:p>
        </w:tc>
        <w:tc>
          <w:tcPr>
            <w:tcW w:type="dxa" w:w="4816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Risiken (Threats)</w:t>
            </w:r>
          </w:p>
        </w:tc>
      </w:tr>
      <w:tr>
        <w:tc>
          <w:tcPr>
            <w:tcW w:type="dxa" w:w="4816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stark wachsender EdTech-/Connected-Toys-Markt (CAGR ~27 % / ~19–25 %)</w:t>
            </w:r>
          </w:p>
        </w:tc>
        <w:tc>
          <w:tcPr>
            <w:tcW w:type="dxa" w:w="4816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Eintritt etablierter Player (Tonies o. ä.)</w:t>
            </w:r>
          </w:p>
        </w:tc>
      </w:tr>
      <w:tr>
        <w:tc>
          <w:tcPr>
            <w:tcW w:type="dxa" w:w="4816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B2B-Bildungsschiene (Curricular-Sync)</w:t>
            </w:r>
          </w:p>
        </w:tc>
        <w:tc>
          <w:tcPr>
            <w:tcW w:type="dxa" w:w="4816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Kickstarter „Alles-oder-Nichts” verfehlt → 0 EUR aus KS</w:t>
            </w:r>
          </w:p>
        </w:tc>
      </w:tr>
      <w:tr>
        <w:tc>
          <w:tcPr>
            <w:tcW w:type="dxa" w:w="4816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internationale Skalierung (Vorbild Tonies)</w:t>
            </w:r>
          </w:p>
        </w:tc>
        <w:tc>
          <w:tcPr>
            <w:tcW w:type="dxa" w:w="4816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Lieferketten-/Komponenten-Risiken Hardware</w:t>
            </w:r>
          </w:p>
        </w:tc>
      </w:tr>
      <w:tr>
        <w:tc>
          <w:tcPr>
            <w:tcW w:type="dxa" w:w="4816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Datensouveränität als wachsendes Kaufargument</w:t>
            </w:r>
          </w:p>
        </w:tc>
        <w:tc>
          <w:tcPr>
            <w:tcW w:type="dxa" w:w="4816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regulatorische Verschärfung Kinder-KI (eher Chance, da by design erfüllt)</w:t>
            </w:r>
          </w:p>
        </w:tc>
      </w:tr>
    </w:tbl>
    <w:p>
      <w:pPr>
        <w:spacing w:after="40"/>
      </w:pPr>
    </w:p>
    <w:p>
      <w:pPr>
        <w:pStyle w:val="Heading2"/>
      </w:pPr>
      <w:r>
        <w:t>8.2  Schlüssel-Risiken und Mitigation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1"/>
        <w:gridCol w:w="3211"/>
        <w:gridCol w:w="3211"/>
      </w:tblGrid>
      <w:tr>
        <w:tc>
          <w:tcPr>
            <w:tcW w:type="dxa" w:w="2440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Risiko</w:t>
            </w:r>
          </w:p>
        </w:tc>
        <w:tc>
          <w:tcPr>
            <w:tcW w:type="dxa" w:w="3339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Beschreibung</w:t>
            </w:r>
          </w:p>
        </w:tc>
        <w:tc>
          <w:tcPr>
            <w:tcW w:type="dxa" w:w="3853"/>
            <w:shd w:val="clear" w:color="auto" w:fill="1F38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Mitigation</w:t>
            </w:r>
          </w:p>
        </w:tc>
      </w:tr>
      <w:tr>
        <w:tc>
          <w:tcPr>
            <w:tcW w:type="dxa" w:w="244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Kinder-ASR-Genauigkeit</w:t>
            </w:r>
          </w:p>
        </w:tc>
        <w:tc>
          <w:tcPr>
            <w:tcW w:type="dxa" w:w="333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dialogtaugliche WER über Alter/Sprache/Dialekt unsicher</w:t>
            </w:r>
          </w:p>
        </w:tc>
        <w:tc>
          <w:tcPr>
            <w:tcW w:type="dxa" w:w="385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eigene Datenpipeline + Augmentation + Finetuning; Go/No-Go (≥30 % rel. WER-Reduktion); Rückfallebene: geführte Dialoge, altersgestaffeltes Vokabular</w:t>
            </w:r>
          </w:p>
        </w:tc>
      </w:tr>
      <w:tr>
        <w:tc>
          <w:tcPr>
            <w:tcW w:type="dxa" w:w="2440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Private-Inferenz-Qualität/Latenz</w:t>
            </w:r>
          </w:p>
        </w:tc>
        <w:tc>
          <w:tcPr>
            <w:tcW w:type="dxa" w:w="3339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OSS-Modelle vs. Public-Cloud bei akzeptabler Latenz/Kosten</w:t>
            </w:r>
          </w:p>
        </w:tc>
        <w:tc>
          <w:tcPr>
            <w:tcW w:type="dxa" w:w="385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systematisches Benchmarking, Domänen-Finetuning, Inferenz-Optimierung, definierte Akzeptanzschwellen</w:t>
            </w:r>
          </w:p>
        </w:tc>
      </w:tr>
      <w:tr>
        <w:tc>
          <w:tcPr>
            <w:tcW w:type="dxa" w:w="244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Fernfeld-Audio (Hardware)</w:t>
            </w:r>
          </w:p>
        </w:tc>
        <w:tc>
          <w:tcPr>
            <w:tcW w:type="dxa" w:w="333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laute Kinderzimmer-Umgebung erschwert Erkennung</w:t>
            </w:r>
          </w:p>
        </w:tc>
        <w:tc>
          <w:tcPr>
            <w:tcW w:type="dxa" w:w="385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Mikrofonarray/Beamforming, Hall-/Geräuschsimulation in der Augmentation, reale Haushaltstests im aws-WP</w:t>
            </w:r>
          </w:p>
        </w:tc>
      </w:tr>
      <w:tr>
        <w:tc>
          <w:tcPr>
            <w:tcW w:type="dxa" w:w="2440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Hardware/Zertifizierung</w:t>
            </w:r>
          </w:p>
        </w:tc>
        <w:tc>
          <w:tcPr>
            <w:tcW w:type="dxa" w:w="3339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CE/EN71/RED-Konformität, Lieferketten</w:t>
            </w:r>
          </w:p>
        </w:tc>
        <w:tc>
          <w:tcPr>
            <w:tcW w:type="dxa" w:w="385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früh eingeplant (H5 im aws-WP, volle Zert. über Wien); etablierte Auftragsfertiger</w:t>
            </w:r>
          </w:p>
        </w:tc>
      </w:tr>
      <w:tr>
        <w:tc>
          <w:tcPr>
            <w:tcW w:type="dxa" w:w="244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Output-Sicherheit (Kinder-KI)</w:t>
            </w:r>
          </w:p>
        </w:tc>
        <w:tc>
          <w:tcPr>
            <w:tcW w:type="dxa" w:w="333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probabilistische LLM-Outputs, Jailbreaks</w:t>
            </w:r>
          </w:p>
        </w:tc>
        <w:tc>
          <w:tcPr>
            <w:tcW w:type="dxa" w:w="385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mehrschichtiger Guardrail-Stack; Red-Teaming mit Kinderschutz-/Pädagogik-Expert:innen</w:t>
            </w:r>
          </w:p>
        </w:tc>
      </w:tr>
      <w:tr>
        <w:tc>
          <w:tcPr>
            <w:tcW w:type="dxa" w:w="2440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Kapital</w:t>
            </w:r>
          </w:p>
        </w:tc>
        <w:tc>
          <w:tcPr>
            <w:tcW w:type="dxa" w:w="3339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hoher Hardware-Kapitalbedarf</w:t>
            </w:r>
          </w:p>
        </w:tc>
        <w:tc>
          <w:tcPr>
            <w:tcW w:type="dxa" w:w="3853"/>
            <w:shd w:val="clear" w:color="auto" w:fill="EAF1F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disjunkter Förder-Stack (FFG/aws/Wien) + Kickstarter + Seed/EIC/Equity</w:t>
            </w:r>
          </w:p>
        </w:tc>
      </w:tr>
      <w:tr>
        <w:tc>
          <w:tcPr>
            <w:tcW w:type="dxa" w:w="244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Kinderdaten/Ethik</w:t>
            </w:r>
          </w:p>
        </w:tc>
        <w:tc>
          <w:tcPr>
            <w:tcW w:type="dxa" w:w="3339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Vertrauen, Regulatorik</w:t>
            </w:r>
          </w:p>
        </w:tc>
        <w:tc>
          <w:tcPr>
            <w:tcW w:type="dxa" w:w="3853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Datenschutz by design als Stärke und Vertriebsargument</w:t>
            </w:r>
          </w:p>
        </w:tc>
      </w:tr>
    </w:tbl>
    <w:p>
      <w:pPr>
        <w:spacing w:after="40"/>
      </w:pPr>
    </w:p>
    <w:p>
      <w:r>
        <w:rPr>
          <w:b w:val="0"/>
          <w:i w:val="0"/>
        </w:rPr>
        <w:t xml:space="preserve">Das Vorhaben ist durch </w:t>
      </w:r>
      <w:r>
        <w:rPr>
          <w:b/>
          <w:i w:val="0"/>
        </w:rPr>
        <w:t>erhebliches technisches Forschungsrisiko</w:t>
      </w:r>
      <w:r>
        <w:rPr>
          <w:b w:val="0"/>
          <w:i w:val="0"/>
        </w:rPr>
        <w:t xml:space="preserve"> gekennzeichnet — kennzeichnend für Deep Tech. Negative Zwischenergebnisse führen zu dokumentierten Strategiewechseln (Rückfallebenen), nicht zum Abbruch; jeder Iterationszyklus reduziert das Risiko schrittweise.</w:t>
      </w:r>
    </w:p>
    <w:p>
      <w:r>
        <w:br w:type="page"/>
      </w:r>
    </w:p>
    <w:p>
      <w:pPr>
        <w:pStyle w:val="Heading1"/>
      </w:pPr>
      <w:r>
        <w:t>Anhang — Pflicht-Restdokumente und offene Punkte</w:t>
      </w:r>
    </w:p>
    <w:p>
      <w:pPr>
        <w:spacing w:after="40"/>
      </w:pPr>
      <w:r>
        <w:rPr>
          <w:b/>
          <w:i w:val="0"/>
        </w:rPr>
        <w:t>Pflicht-Restdokumente (separat einzureichen):</w:t>
      </w:r>
    </w:p>
    <w:p>
      <w:pPr>
        <w:pStyle w:val="ListBullet"/>
        <w:spacing w:after="60"/>
      </w:pPr>
      <w:r>
        <w:rPr>
          <w:b/>
        </w:rPr>
        <w:t>Integralplanung (Excel):</w:t>
      </w:r>
      <w:r>
        <w:rPr>
          <w:b w:val="0"/>
        </w:rPr>
        <w:t xml:space="preserve"> Hardware-Kostenplan (Arbeitspakete + Kosten- + Finanzplan) → Übertrag in aws-Excel-Vorlage.</w:t>
      </w:r>
    </w:p>
    <w:p>
      <w:pPr>
        <w:pStyle w:val="ListBullet"/>
        <w:spacing w:after="60"/>
      </w:pPr>
      <w:r>
        <w:rPr>
          <w:b/>
        </w:rPr>
        <w:t>Pitch-Deck (PPTX):</w:t>
      </w:r>
      <w:r>
        <w:rPr>
          <w:b w:val="0"/>
        </w:rPr>
        <w:t xml:space="preserve"> nach aws-/i2b-Struktur (Deep-Tech-Fokus, Schutzrechte, Skalierbarkeit).</w:t>
      </w:r>
    </w:p>
    <w:p>
      <w:pPr>
        <w:pStyle w:val="ListBullet"/>
        <w:spacing w:after="60"/>
      </w:pPr>
      <w:r>
        <w:rPr>
          <w:b/>
        </w:rPr>
        <w:t>ID-Nachweis</w:t>
      </w:r>
      <w:r>
        <w:rPr>
          <w:b w:val="0"/>
        </w:rPr>
        <w:t xml:space="preserve"> GF + Gesellschafter &gt;25 %; </w:t>
      </w:r>
      <w:r>
        <w:rPr>
          <w:b/>
        </w:rPr>
        <w:t>CVs</w:t>
      </w:r>
      <w:r>
        <w:rPr>
          <w:b w:val="0"/>
        </w:rPr>
        <w:t xml:space="preserve"> Gründer/Schlüsselpersonen.</w:t>
      </w:r>
    </w:p>
    <w:p>
      <w:pPr>
        <w:pStyle w:val="ListBullet"/>
        <w:spacing w:after="60"/>
      </w:pPr>
      <w:r>
        <w:rPr>
          <w:b/>
        </w:rPr>
        <w:t>Eigenmittel-Beleg</w:t>
      </w:r>
      <w:r>
        <w:rPr>
          <w:b w:val="0"/>
        </w:rPr>
        <w:t xml:space="preserve"> (Bankbestätigung) vor Auszahlung.</w:t>
      </w:r>
    </w:p>
    <w:p>
      <w:pPr>
        <w:spacing w:after="40" w:before="120"/>
      </w:pPr>
      <w:r>
        <w:rPr>
          <w:b/>
          <w:i w:val="0"/>
        </w:rPr>
        <w:t>Offene Punkte (echte Stammdaten von Nemanja zu bestätigen):</w:t>
      </w:r>
    </w:p>
    <w:p>
      <w:pPr>
        <w:pStyle w:val="ListNumber"/>
        <w:spacing w:after="40"/>
      </w:pPr>
      <w:r>
        <w:rPr>
          <w:b w:val="0"/>
        </w:rPr>
        <w:t>Stammkapital-Höhe + Gesellschafterstruktur der Plappi FlexCo.</w:t>
      </w:r>
    </w:p>
    <w:p>
      <w:pPr>
        <w:pStyle w:val="ListNumber"/>
        <w:spacing w:after="40"/>
      </w:pPr>
      <w:r>
        <w:rPr>
          <w:b w:val="0"/>
        </w:rPr>
        <w:t>Wortmarke „Plappi” — Anmeldestatus/Klasse/Datum.</w:t>
      </w:r>
    </w:p>
    <w:p>
      <w:pPr>
        <w:pStyle w:val="ListNumber"/>
        <w:spacing w:after="40"/>
      </w:pPr>
      <w:r>
        <w:rPr>
          <w:b w:val="0"/>
        </w:rPr>
        <w:t>Gender-Bonus-Struktur (qualifizierte Frau &gt;25 % + leitend &gt;50 %).</w:t>
      </w:r>
    </w:p>
    <w:p>
      <w:pPr>
        <w:pStyle w:val="ListNumber"/>
        <w:spacing w:after="40"/>
      </w:pPr>
      <w:r>
        <w:rPr>
          <w:b w:val="0"/>
        </w:rPr>
        <w:t>Exakte BReact-KMU-Zahlen (für die KMU-Erklärung im aws-Fördermanager).</w:t>
      </w:r>
    </w:p>
    <w:p>
      <w:pPr>
        <w:pStyle w:val="ListNumber"/>
        <w:spacing w:after="40"/>
      </w:pPr>
      <w:r>
        <w:rPr>
          <w:b w:val="0"/>
        </w:rPr>
        <w:t>aws-Personalkostensatz (GF) — im aws-Kostenleitfaden verifizieren (andere Regeln als FFG).</w:t>
      </w:r>
    </w:p>
    <w:p>
      <w:pPr>
        <w:pStyle w:val="ListNumber"/>
        <w:spacing w:after="40"/>
      </w:pPr>
      <w:r>
        <w:rPr>
          <w:b w:val="0"/>
        </w:rPr>
        <w:t>Eigenmittel-Cash-Quelle + Bankbeleg.</w:t>
      </w:r>
    </w:p>
    <w:sectPr w:rsidR="00FC693F" w:rsidRPr="0006063C" w:rsidSect="00034616">
      <w:footerReference w:type="default" r:id="rId9"/>
      <w:pgSz w:w="12240" w:h="15840"/>
      <w:pgMar w:top="1247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color w:val="595959"/>
        <w:sz w:val="16"/>
      </w:rPr>
      <w:t xml:space="preserve">Businessplan Plappi · aws Preseed Deep Tech · Seite </w:t>
    </w:r>
    <w:r>
      <w:rPr>
        <w:color w:val="595959"/>
        <w:sz w:val="16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1F3864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 w:ascii="Calibri" w:hAnsi="Calibri"/>
      <w:b/>
      <w:bCs/>
      <w:color w:val="2E75B6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